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6B_1026/2019 vom 3. Oktober 2019</w:t>
      </w:r>
    </w:p>
    <w:p>
      <w:r>
        <w:t>Bundesgericht, 2019-10-03, FR</w:t>
      </w:r>
    </w:p>
    <w:p>
      <w:r>
        <w:rPr>
          <w:b/>
        </w:rPr>
        <w:t xml:space="preserve">Quelle: </w:t>
      </w:r>
      <w:r>
        <w:t>https://mcp.opencaselaw.ch/entscheid/bger_6B_1026_2019</w:t>
      </w:r>
    </w:p>
    <w:p>
      <w:r>
        <w:t>FR: TF 6B_1026/2019 du 3 octobre 2019</w:t>
      </w:r>
    </w:p>
    <w:p>
      <w:r>
        <w:t>IT: TF 6B_1026/2019 del 3 ottobre 2019</w:t>
      </w:r>
    </w:p>
    <w:p>
      <w:pPr>
        <w:pStyle w:val="Heading2"/>
      </w:pPr>
      <w:r>
        <w:t>Erwägungen</w:t>
      </w:r>
    </w:p>
    <w:p>
      <w:r>
        <w:rPr>
          <w:b/>
        </w:rPr>
        <w:t>E. 1</w:t>
      </w:r>
    </w:p>
    <w:p>
      <w:r>
        <w:t>Par arrêt du 23 juillet 2019, la Chambre pénale de recours de la Cour de justice de la République et canton de Genève a rejeté le recours formé par B.________ SA et A.________ contre l'ordonnance du 22 février 2019 par laquelle le Ministère public genevois a refusé d'entrer en matière sur leur plainte déposée le 15 novembre 2018 contre C.________.</w:t>
      </w:r>
    </w:p>
    <w:p>
      <w:r>
        <w:t>B.________ SA et A.________ forment un recours en matière pénale contre l'arrêt précité. En substance, ils concluent, avec suite de frais et dépens, à l'annulation de la décision attaquée et de l'ordonnance du 22 février 2019 et au renvoi de la cause au ministère public pour qu'il ouvre une instruction contre C.________.</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Si la partie plaignante invoque des infractions distinctes, elle doit mentionner par rapport à chacune d'elles en quoi consiste son dommage (arrêts 6B_705/2019 du 5 septembre 2019 consid. 1.1; 6B_914/2013 du 27 février 2014 consid. 1.2). En outre, lorsque le recours émane de plusieurs parties plaignantes qui procèdent ensemble, elles doivent chacune individuellement exposer quel est leur dommage (arrêts 6B_711/2019 du 25 juin 2019 consid. 2.1; 6B_936/2013 du 14 février 2014 consid. 1.2).</w:t>
      </w:r>
    </w:p>
    <w:p>
      <w:r>
        <w:rPr>
          <w:b/>
        </w:rPr>
        <w:t>E. 2.2</w:t>
      </w:r>
    </w:p>
    <w:p>
      <w:r>
        <w:t>Les recourants soutiennent que C.________ se serait rendu coupable d'escroquerie, de faux dans les titres et de fausse déclaration en justice. Ils font valoir des prétentions civiles à hauteur de 246'000 fr. correspondant au prix qu'ils ont payé pour l'achat d'un fonds de commerce autour duquel leur litige s'articule. Invoquant des infractions distinctes, les recourants n'indiquent pas, par rapport à chacune d'elles, en quoi consisterait le dommage en résultant. De plus, les recourants, qui agissent conjointement, n'exposent pas en quoi consisterait individuellement le dommage qu'ils auraient chacun subi en relation avec chaque infraction. L'absence d'explications suffisantes sur la question des prétentions civiles exclut leur qualité pour recourir sur le fond de la cause.</w:t>
      </w:r>
    </w:p>
    <w:p>
      <w:r>
        <w:rPr>
          <w:b/>
        </w:rPr>
        <w:t>E. 2.3</w:t>
      </w:r>
    </w:p>
    <w:p>
      <w:r>
        <w:t>L'hypothèse visée à l'art. 81 al. 1 let. b ch. 6 LTF n'entre pas en considération, les recourants ne soulevant aucun grief quant à leur droit de porter plainte.</w:t>
      </w:r>
    </w:p>
    <w:p>
      <w:r>
        <w:rPr>
          <w:b/>
        </w:rPr>
        <w:t>E. 2.4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 Tel n'est pas le cas en l'espèce.</w:t>
      </w:r>
    </w:p>
    <w:p>
      <w:r>
        <w:rPr>
          <w:b/>
        </w:rPr>
        <w:t>E. 3</w:t>
      </w:r>
    </w:p>
    <w:p>
      <w:r>
        <w:t>Sur le vu de ce qui précède, le recours doit être déclaré irrecevable selon la procédure simplifiée prévue par l' art. 108 al. 1 let. a et b LTF . Les recourants, qui succombent, supportent les frais judiciaires, solidairement entre eux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