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1026/2013 vom 10. Juni 2014</w:t>
      </w:r>
    </w:p>
    <w:p>
      <w:r>
        <w:t>Bundesgericht, 2014-06-10, FR</w:t>
      </w:r>
    </w:p>
    <w:p>
      <w:r>
        <w:rPr>
          <w:b/>
        </w:rPr>
        <w:t xml:space="preserve">Quelle: </w:t>
      </w:r>
      <w:r>
        <w:t>https://mcp.opencaselaw.ch/entscheid/bger_6B_1026_2013</w:t>
      </w:r>
    </w:p>
    <w:p>
      <w:r>
        <w:t>FR: TF 6B 1026/2013 du 10 juin 2014</w:t>
      </w:r>
    </w:p>
    <w:p>
      <w:r>
        <w:t>IT: TF 6B 1026/2013 del 10 giugno 2014</w:t>
      </w:r>
    </w:p>
    <w:p>
      <w:pPr>
        <w:pStyle w:val="Heading2"/>
      </w:pPr>
      <w:r>
        <w:t>Regeste</w:t>
      </w:r>
    </w:p>
    <w:p>
      <w:r>
        <w:t>Indemnité, frais de défense, arbitraire | Procédure pénale</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3</w:t>
      </w:r>
    </w:p>
    <w:p>
      <w:r>
        <w:t>Le recourant fait grief à la cour cantonale d'avoir violé les art. 429 al. 1 let. b CPP et 42 CO.</w:t>
      </w:r>
    </w:p>
    <w:p>
      <w:r>
        <w:rPr>
          <w:b/>
        </w:rPr>
        <w:t>E. 3.1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L'évaluation du dommage économique se fait en application des règles générales en matière de responsabilité civile ( WEHRENBERG/BERNHARD, in Basler Kommentar, Schweizerische Strafprozessordnung, 2011, n o 25 ad art. 429 CPP ; MIZEL/RÉTORNAZ, in Commentaire romand, Code de procédure pénale suisse, 2011 n o 41 ad art. 429 CPP ; Jo Pitteloud, Code de procédure pénale suisse, Commentaire à l'usage des praticiens, 2012, no 1342 p. 885; Jeanneret/Kuhn, Précis de procédure pénale, 2013, no 5064). 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 ATF 139 V 176 consid. 8.1.1 p. 187 s.; 133 III 462 consid. 4.4.2 p. 470 et les références citées). Le responsable n'est tenu de réparer que le dommage qui se trouve dans un rapport de causalité adéquate avec l'acte qui fonde sa responsabilité (cf. 133 III 462 consid. 4.4.2 p. 470). Il appartient au lésé de prouver non seulement l'existence et l'étendue du dommage, mais aussi le lien de causalité entre celui-ci et l'événement à la base de son action.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133 III 462 consid. 4.4.2 p. 471 et les références citées).</w:t>
      </w:r>
    </w:p>
    <w:p>
      <w:r>
        <w:rPr>
          <w:b/>
        </w:rPr>
        <w:t>E. 3.2</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p. 188). Lorsque les conditions d'application de l' art. 42 al. 2 CO sont réunies, l'estimation du dommage repose sur le pouvoir d'apprécier les faits; elle relève donc de la constatation des faits ( ATF 126 III 388 consid. 8a p. 389). Or, saisi d'un recours en matière pénale, le Tribunal fédéral ne réexamine l'établissement des faits - sous réserve de l'allégation d'une violation du droit au sens de l' art. 95 LTF - que lorsqu'il est entaché d'inexactitude manifeste ( art. 97 al. 1 LTF ), à savoir d'arbitraire ( ATF 137 IV 1 consid. 4.2.3 p. 5).</w:t>
      </w:r>
    </w:p>
    <w:p>
      <w:r>
        <w:rPr>
          <w:b/>
        </w:rPr>
        <w:t>E. 3.3</w:t>
      </w:r>
    </w:p>
    <w:p>
      <w:r>
        <w:t>En substance, la cour cantonale a relevé que le recourant réclamait un montant de 60'000 fr. pour paiement d'une partie des loyers de son magasin durant son incarcération, de salaires payés aux employés et pour la perte de clientèle. Il ressortait toutefois de ses déclarations que le magasin n'avait été fermé en raison de sa détention que durant les mois de mars, avril, mai, septembre et octobre 2012, d'autres personnes l'ayant exploité par ailleurs. Les cinq mois de fermeture allégués ne reposaient que sur les déclarations du recourant qui ne trouvaient aucune confirmation dans les pièces produites et les témoignages figurant à la procédure, la comptabilité pour l'exercice 2012 n'étant pas à la disposition de la cour cantonale. La comptabilité de l'exercice 2011 n'était d'aucun secours, la comptable ayant déclaré l'avoir établie sans disposer des pièces comptables, saisies par la police. Les déclarations de celle-ci et du recourant relatives à la période de fermeture du magasin ne concordaient pas, la comptable ayant parlé d'une fermeture complète durant la détention du recourant. Au vu de ces éléments, le recourant, qui avait le fardeau de la preuve, n'avait pas établi les faits de sorte qu'il devait être débouté de ses conclusions sur ce point.</w:t>
      </w:r>
    </w:p>
    <w:p>
      <w:r>
        <w:rPr>
          <w:b/>
        </w:rPr>
        <w:t>E. 3.4</w:t>
      </w:r>
    </w:p>
    <w:p>
      <w:r>
        <w:t>Le recourant se contente d'affirmer qu'il aurait établi son dommage, dans toute la mesure du possible au vu des circonstances, se référant pour cela à ses propres déclarations et à celles de sa comptable. Il soutient également que le contenu de son magasin aurait été détruit en mars 2012 et que la surmédiatisation de l'affaire lui aurait causé une perte de clientèle. Ce faisant, il ne fait qu'opposer sa propre appréciation des faits à celle de la cour cantonale, sans démontrer en quoi celle-ci serait arbitraire. Purement appellatoire, son grief est irrecevable. Il se plaint en outre du fait que la cour cantonale n'a pas fait application de l' art. 42 al. 2 CO . Cette disposition ne dispensait toutefois pas le recourant de fournir au juge, dans la mesure du possible, tous les éléments de fait constituant des indices de l'existence du préjudice et permettant l'évaluation ex aequo et bono du montant du dommage. Or, en l'espèce, la cour cantonale a retenu, sans que le recourant en démontre l'arbitraire, qu'il n'existait pas suffisamment d'indices pour établir le dommage. Insuffisamment motivé au regard des exigences accrues de l' art. 106 al. 2 LTF , sa critique est irrecevable. En l'absence de dommage établi, c'est à bon droit que la cour cantonale a refusé d'allouer au recourant une indemnité pour le dommage économique fondé sur l' art. 429 al. 1 let. b CPP .</w:t>
      </w:r>
    </w:p>
    <w:p>
      <w:r>
        <w:rPr>
          <w:b/>
        </w:rPr>
        <w:t>E. 4</w:t>
      </w:r>
    </w:p>
    <w:p>
      <w:r>
        <w:t>Le recourant se plaint de ce que la cour cantonale aurait violé l' art. 429 al. 1 let. a CPP en réduisant sa prétention en indemnisation pour ses frais de défense de plus de la moitié.</w:t>
      </w:r>
    </w:p>
    <w:p>
      <w:r>
        <w:rPr>
          <w:b/>
        </w:rPr>
        <w:t>E. 4.1</w:t>
      </w:r>
    </w:p>
    <w:p>
      <w:r>
        <w:t>Aux termes de l' art. 429 al. 1 let. a CPP , le prévenu acquitté totalement ou en partie ou au bénéfice d'un classement a droit à une indemnité pour les dépenses occasionnées par l'exercice raisonnable de ses droits de procédure. L'indemnité concerne les dépenses du prévenu pour un avocat de choix (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4.2</w:t>
      </w:r>
    </w:p>
    <w:p>
      <w:r>
        <w:t>Lorsque le juge est amené à fixer l'indemnité pour frais de défense selon l' 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6B_875/2013 du 7 avril 2014 consid. 5).</w:t>
      </w:r>
    </w:p>
    <w:p>
      <w:r>
        <w:rPr>
          <w:b/>
        </w:rPr>
        <w:t>E. 4.3</w:t>
      </w:r>
    </w:p>
    <w:p>
      <w:r>
        <w:t>En substance, la cour cantonale a retenu que, même si la cause n'était pas d'une complexité particulière, l'assistance d'un avocat était nécessaire, compte tenu de la nature des infractions reprochées et de la mise en détention. Elle a indiqué que la note d'honoraires principale, s'élevant à près de 180'000 fr., ne permettait pas de savoir quelles prestations avaient été effectuées par un associé ou par un stagiaire. Le temps consacré aux prestations fournies n'était pas indiqué pour chacune d'elles mais de manière globale, ce qui empêchait toute évaluation précise. La cour cantonale ne distinguait pas la nécessité des nombreuses heures de recherches juridiques facturées, ainsi que des entretiens entre associé et stagiaire, qui relevaient de l'organisation interne de l'étude. Elle a retenu un tarif horaire de 400 fr. pour un associé et 100 fr. pour un stagiaire. Au vu de ces éléments, elle a fixé à 100'000 fr. le montant de l'indemnité relative aux frais de défense.</w:t>
      </w:r>
    </w:p>
    <w:p>
      <w:r>
        <w:rPr>
          <w:b/>
        </w:rPr>
        <w:t>E. 4.4</w:t>
      </w:r>
    </w:p>
    <w:p>
      <w:r>
        <w:t>La motivation cantonale ne permet pas de déterminer quelles prestations, hormis les heures de recherches juridiques et les entretiens entre associé et stagiaire, elle a considéré comme des prestations inutiles. Elle n'a en outre pas indiqué le temps qu'elle estimait comme utilement consacré à l'exécution du mandat, ni celui qu'elle estimait consacré à des démarches superflues. Le fait que les notes d'honoraires produites par le recourant n'indiquent pas en détail le temps consacré à chaque opération, mais uniquement une liste par jour des opérations et du temps global y afférent, n'empêchait pas la cour cantonale de procéder à une appréciation du temps qu'elle estimait comme utilement consacré à chaque opération. Si toutefois, elle considérait n'être pas suffisamment renseignée, elle devait, en application de l' art. 429 al. 2 CPP , enjoindre le recourant à préciser ses prétentions, en particulier à fournir des notes d'honoraires plus détaillées. Il en va de même s'agissant de la séparation des heures effectuées par un associé et celles effectuées par un stagiaire. La motivation cantonale ne permet ainsi pas de vérifier la bonne application du droit fédéral.</w:t>
      </w:r>
    </w:p>
    <w:p>
      <w:r>
        <w:rPr>
          <w:b/>
        </w:rPr>
        <w:t>E. 4.5</w:t>
      </w:r>
    </w:p>
    <w:p>
      <w:r>
        <w:t>Le recourant conteste également la fixation du tarif horaire à 400 fr. pour l'associé et 100 fr. pour le stagiaire. Selon la jurisprudence, l'indemnité visée par l' art. 429 al. 1 let. a CPP doit correspondre au tarif usuel du barreau applicable dans le canton où la procédure se déroule, à moins que le canton n'ait fixé un tarif réglementaire (cf. arrêt 6B_392/2013 du 4 novembre 2013 consid. 2.3). Le canton de Genève n'a pas fixé de tarif. Dès lors, il y a lieu de se référer au tarif usuel du canton. Déterminer le taux horaire usuel est une question de fait que le Tribunal fédéral ne revoit que sous l'angle de l'arbitraire. A cet égard, le recourant soutient que le tarif horaire usuel pour un avocat associé se situe entre 400 et 450 francs. Il ne démontre pas en quoi il serait arbitraire de retenir un tarif horaire de 400 fr., comme l'a fait la cour cantonale, qui se situe dans la fourchette qu'il cite lui-même. Son grief à cet égard est irrecevable. Quant au tarif horaire de l'avocat stagiaire, le recourant soutient, se référant à la pratique de la Commission de taxation des honoraires d'avocat du canton de Genève, que la rémunération horaire de l'avocat stagiaire se situerait entre 180 et 200 fr. (cf. notamment BOHNET/MARTENET, Droit de la profession d'avocat, 2009, n o 2972 p. 1174). La cour cantonale n'expose pas pour quel motif elle a retenu un tarif horaire de 100 francs. Le recours doit être admis sur ce point. Dans le cadre du renvoi, elle devra établir la pratique usuelle du canton et se fonder sur ce tarif horaire pour rémunérer les heures utilement effectuées par un stagiaire.</w:t>
      </w:r>
    </w:p>
    <w:p>
      <w:r>
        <w:rPr>
          <w:b/>
        </w:rPr>
        <w:t>E. 5</w:t>
      </w:r>
    </w:p>
    <w:p>
      <w:r>
        <w:t>Au vu de ce qui précède, le recours doit être partiellement admis, la cause renvoyée à la cour cantonale pour nouvelle décision sur l'indemnité fondée sur l' art. 429 al. 1 let. a CPP . Pour le surplus, le recours est rejeté dans la mesure où il est recevable. Le recourant a requis l'assistance judiciaire. Cette requête est sans objet dans la mesure où il obtient gain de cause et peut, à ce titre, prétendre à des dépens réduits de la part du canton (art. 64 al. 2 et 68 al. 1 LTF). Le recours était, pour le surplus, dénué de chances de succès, si bien que l'assistance judiciaire doit être refusée dans cette mesure ( art. 64 al. 1 LTF ). Une partie des frais sera ainsi supportée par le recourant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