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6B_1025/2024 vom 10. Februar 2025</w:t>
      </w:r>
    </w:p>
    <w:p>
      <w:r>
        <w:t>Bundesgericht, 2025-02-10, DE</w:t>
      </w:r>
    </w:p>
    <w:p>
      <w:r>
        <w:rPr>
          <w:b/>
        </w:rPr>
        <w:t xml:space="preserve">Quelle: </w:t>
      </w:r>
      <w:r>
        <w:t>https://mcp.opencaselaw.ch/entscheid/bger_6B_1025_2024</w:t>
      </w:r>
    </w:p>
    <w:p>
      <w:r>
        <w:t>FR: TF 6B_1025/2024 du 10 février 2025</w:t>
      </w:r>
    </w:p>
    <w:p>
      <w:r>
        <w:t>IT: TF 6B_1025/2024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Kosten auferlegt.</w:t>
      </w:r>
    </w:p>
    <w:p>
      <w:r>
        <w:rPr>
          <w:b/>
        </w:rPr>
        <w:t>E. 3</w:t>
      </w:r>
    </w:p>
    <w:p>
      <w:r>
        <w:t>Dieses Urteil wird den Parteien und dem Obergericht des Kantons Bern, 1. Strafkammer, schriftlich mitgeteilt.</w:t>
      </w:r>
    </w:p>
    <w:p>
      <w:r>
        <w:t>Lausanne, 10. Februar 2025</w:t>
      </w:r>
    </w:p>
    <w:p>
      <w:r>
        <w:t>Im Namen der I.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