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6B_1025/2020 vom 1. Dezember 2020</w:t>
      </w:r>
    </w:p>
    <w:p>
      <w:r>
        <w:t>Bundesgericht, 2020-12-01, FR</w:t>
      </w:r>
    </w:p>
    <w:p>
      <w:r>
        <w:rPr>
          <w:b/>
        </w:rPr>
        <w:t xml:space="preserve">Quelle: </w:t>
      </w:r>
      <w:r>
        <w:t>https://mcp.opencaselaw.ch/entscheid/bger_6B_1025_2020</w:t>
      </w:r>
    </w:p>
    <w:p>
      <w:r>
        <w:t>FR: TF 6B_1025/2020 du 1 décembre 2020</w:t>
      </w:r>
    </w:p>
    <w:p>
      <w:r>
        <w:t>IT: TF 6B_1025/2020 del 1 dicembre 2020</w:t>
      </w:r>
    </w:p>
    <w:p>
      <w:pPr>
        <w:pStyle w:val="Heading2"/>
      </w:pPr>
      <w:r>
        <w:t>Erwägungen</w:t>
      </w:r>
    </w:p>
    <w:p>
      <w:r>
        <w:rPr>
          <w:b/>
        </w:rPr>
        <w:t>E. 1</w:t>
      </w:r>
    </w:p>
    <w:p>
      <w:r>
        <w:t>Par jugement du 5 novembre 2019, le Tribunal de police de la République et canton de Genève a reconnu A.________ coupable d'abus de confiance et l'a condamné à une peine pécuniaire de 180 jours-amende à 30 fr. l'unité, avec sursis et délai d'épreuve de 3 ans.</w:t>
      </w:r>
    </w:p>
    <w:p>
      <w:r>
        <w:rPr>
          <w:b/>
        </w:rPr>
        <w:t>E. 2</w:t>
      </w:r>
    </w:p>
    <w:p>
      <w:r>
        <w:t>Statuant sur l'appel interjeté par A.________, la Chambre pénale d'appel et de révision de la Cour de justice genevoise l'a rejeté et a confirmé le jugement de première instance par arrêt du 7 juillet 2020.</w:t>
      </w:r>
    </w:p>
    <w:p>
      <w:r>
        <w:t>La cour cantonale a retenu en substance que les plaignants avaient confié à A.________ leur patrimoine détenu auprès de D.________ et que celui-ci avait, contrairement aux directives reçues, prélevé des sommes importantes sur les comptes pour lesquels il bénéficiait de procuration et des mots de passe nécessaires. Les prélèvements étaient intervenus à un rythme quasi mensuel, et les montants prélevés avaient été transférés sur son propre compte. Il n'avait ni informé les plaignants, ni obtenu d'autorisation de leur part, utilisant les montants en cause pour les dépenses ordinaires de sa propre société. Il avait ainsi disposé sans droit de l'argent qui lui avait été confié et causé un dommage considérable aux plaignants.</w:t>
      </w:r>
    </w:p>
    <w:p>
      <w:r>
        <w:rPr>
          <w:b/>
        </w:rPr>
        <w:t>E. 3</w:t>
      </w:r>
    </w:p>
    <w:p>
      <w:r>
        <w:t>A.________ forme un recours en matière pénale au Tribunal fédéral contre l'arrêt cantonal du 7 juillet 2020.</w:t>
      </w:r>
    </w:p>
    <w:p>
      <w:r>
        <w:rPr>
          <w:b/>
        </w:rPr>
        <w:t>E. 4</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semble contester les faits retenus par la cour cantonale et invoque un déni de justice qui serait "évident". Il n'expose toutefois pas à quoi celui-ci est supposé se rapporter. Au demeurant, les éléments dont il fait état dans son écriture s'épuisent dans une discussion libre et purement appellatoire, partant irrecevable, de la décision entreprise. A contrario, on y cherche en vain une quelconque argumentation topique censée démontrer en quoi les constatations cantonales seraient entachées d'arbitraire, respectivement insoutenables, ou en quoi les juges précédents auraient violé le droit fédéral.</w:t>
      </w:r>
    </w:p>
    <w:p>
      <w:r>
        <w:t>Faute de satisfaire aux conditions de recevabilité d'un recours en matière pénale au Tribunal fédéral (cf. art. 42 al. 2 ; 106 al. 2 LTF ), le recours doit être déclaré irrecevable en application de l' art. 108 al. 1 let. b LTF .</w:t>
      </w:r>
    </w:p>
    <w:p>
      <w:r>
        <w:rPr>
          <w:b/>
        </w:rPr>
        <w:t>E. 5</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