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6B_1023/2018 vom 17. Januar 2019</w:t>
      </w:r>
    </w:p>
    <w:p>
      <w:r>
        <w:t>Bundesgericht, 2019-01-17, DE</w:t>
      </w:r>
    </w:p>
    <w:p>
      <w:r>
        <w:rPr>
          <w:b/>
        </w:rPr>
        <w:t xml:space="preserve">Quelle: </w:t>
      </w:r>
      <w:r>
        <w:t>https://mcp.opencaselaw.ch/entscheid/bger_6B_1023_2018</w:t>
      </w:r>
    </w:p>
    <w:p>
      <w:r>
        <w:t>FR: TF 6B_1023/2018 du 17 janvier 2019</w:t>
      </w:r>
    </w:p>
    <w:p>
      <w:r>
        <w:t>IT: TF 6B_1023/2018 del 17 gennaio 2019</w:t>
      </w:r>
    </w:p>
    <w:p>
      <w:pPr>
        <w:pStyle w:val="Heading2"/>
      </w:pPr>
      <w:r>
        <w:t>Erwägungen</w:t>
      </w:r>
    </w:p>
    <w:p>
      <w:r>
        <w:rPr>
          <w:b/>
        </w:rPr>
        <w:t>E. 1.1</w:t>
      </w:r>
    </w:p>
    <w:p>
      <w:r>
        <w:t>Anfechtungsgegenstand ist vorliegend ein letztinstanzlich kantonaler Beschluss, worin im Rahmen eines selbständigen nachträglichen Entscheids gemäss Art. 363 ff. StPO über die Verlängerung einer stationären therapeutischen Massnahme gemäss Art. 59 Abs. 4 StGB befunden wird. Es handelt sich um eine Strafsache, gegen welche die Beschwerde in Strafsachen zulässig ist ( Art. 78 BGG ).</w:t>
      </w:r>
    </w:p>
    <w:p>
      <w:r>
        <w:rPr>
          <w:b/>
        </w:rPr>
        <w:t>E. 1.2</w:t>
      </w:r>
    </w:p>
    <w:p>
      <w:r>
        <w:t>Während die Vorinstanz davon ausgeht, die Vollzugsbehörde (BVD) habe rechtzeitig um Verlängerung der Massnahme ersucht und deren Voraussetzungen lägen vor, macht der Beschwerdeführer zusammengefasst geltend, die BVD hätten das Verlängerungsgesuch erst nach Ablauf der fünfjährigen Frist gemäss Art. 59 Abs. 4 StGB gestellt, womit die ursprünglich angeordnete Massnahme ausgelaufen sei. Da er auch die angeordnete Freiheitsstrafe von 6½ Jahren verbüsst habe, sei er sofort in Freiheit zu entlassen. Selbst wenn von einem rechtzeitig erfolgten Verlängerungsantrag auszugehen wäre, würden die Voraussetzungen für eine Verlängerung der stationären therapeutischen Massnahme gemäss Art. 59 Abs. 4 StGB nicht vorliegen und eine solche wäre nicht verhältnismässig. Zudem verneine die Vorinstanz zu Unrecht eine Rechtsverweigerung durch das erstinstanzliche Gericht; dieses hätte vor der Verlängerung gestützt auf Art. 59 Abs. 4 StGB zunächst prüfen müssen, ob die Voraussetzungen für die Aufhebung der Massnahme gemäss Art. 62c Abs. 1 StGB vorlägen. Schliesslich verletze seine Unterbringung in der IKS Bostadel Art. 5 EMRK .</w:t>
      </w:r>
    </w:p>
    <w:p>
      <w:r>
        <w:rPr>
          <w:b/>
        </w:rPr>
        <w:t>E. 1.3</w:t>
      </w:r>
    </w:p>
    <w:p>
      <w:r>
        <w:t>Die von der Vorinstanz und dem Beschwerdeführer aufgeworfenen Fragen hinsichtlich der Rechtzeitigkeit des Verlängerungsantrags sowie der Rechtmässigkeit der Massnahmenverlängerung setzen zunächst voraus, dass sich vorliegend die Frage einer Verlängerung überhaupt stellt, das heisst, die fünfjährige Frist gemäss Art. 59 Abs. 4 StGB demnächst abläuft beziehungsweise bereits abgelaufen ist. Diesbezüglich geht die Vorinstanz gestützt auf ihre Rechtsprechung davon aus, dass die Fünfjahresfrist am 2. Oktober 2012 mit dem vorzeitigen Massnahmenantritt des Beschwerdeführers begann und am 1. Oktober 2017 abgelaufen ist.</w:t>
      </w:r>
    </w:p>
    <w:p>
      <w:r>
        <w:t>Das Bundesgericht setzte sich in einem kürzlich ergangenen Urteil, dem ebenfalls ein Beschluss der Vorinstanz zugrunde lag, ausführlich mit der Frage auseinander, wann die Fünfjahresfrist gemäss Art. 59 Abs. 4 Satz 1 StGB beziehungsweise eine richterlich festgesetzte Frist zu laufen beginnt. Es entschied, dass für den Fristenlauf auf das Datum des in Rechtskraft erwachsenen Anordnungsentscheids abzustellen ist, wenn die Massnahme nicht aus der Freiheit heraus angetreten wird (ausführlich Urteil 6B_691/2018 vom 19. Dezember 2018 E. 2, insbesondere E. 2.6 f., E. 3, zur Publikation vorgesehen). Das Bundesgericht rief zudem in Erinnerung, dass die Behörden das Gesuch um Verlängerung der Massnahme rechtzeitig, das heisst, vor Ablauf der Fünfjahresfrist gemäss Art. 59 Abs. 4 Satz 1 StGB stellen müssen. Der Verlängerungsentscheid müsse auf einer möglichst breiten und aussagekräftigen Beurteilungsgrundlage basieren sowie den Verhältnissen im Zeitpunkt nach Ablauf der Massnahmendauer gemäss Erstanordnung Rechnung tragen. Es sei daher nicht zu beanstanden, wenn das Verlängerungsverfahren erst gegen Ende der maximal möglichen Dauer der stationären Massnahme eingeleitet werde. Im konkreten Fall beurteilte das Bundesgericht den mehr als ein Jahr vor Ablauf der Fünfjahresfrist erfolgten Antrag auf Verlängerung zwar als eher verfrüht, angesichts der konkreten Umstände jedoch im Ergebnis nicht zu beanstanden (a.a.O., E. 2.9 mit Hinweisen).</w:t>
      </w:r>
    </w:p>
    <w:p>
      <w:r>
        <w:rPr>
          <w:b/>
        </w:rPr>
        <w:t>E. 1.4</w:t>
      </w:r>
    </w:p>
    <w:p>
      <w:r>
        <w:t>Im vorliegend zu beurteilenden Fall wurde die stationäre therapeutische Massnahme gemäss Art. 59 StGB mit Urteil der Vorinstanz vom 7. Juni 2017 erstmals rechtskräftig angeordnet. Dieses Urteil wurde mit dem bundesgerichtlichen Urteil vom 18. Januar 2018 vollstreckbar. Folglich begann die Fünfjahresfrist gemäss Art. 59 Abs. 4 Satz 1 StGB am 7. Juni 2017 zu laufen und endet am 6. Juni 2022. Es erscheint offensichtlich und bedarf daher keiner weiteren Begründung, dass das Verlängerungsverfahren (Antrag auf Verlängerung: 16. Februar 2018; erstinstanzliche Verlängerung: 12. Juni 2018; zweitinstanzliche Verlängerung: 12. September 2018) zu früh eingeleitet wurde und die Gerichte ihrem Verlängerungsentscheid nicht die Verhältnisse nach Ablauf der Fünfjahresfrist gemäss Erstanordnung zugrunde legten beziehungsweise zugrunde legen konnten (vgl. Urteil 6B_691/2018 vom 19. Dezember 2018 E. 2.9.2, zur Publikation vorgesehen). Damit verletzen sie Art. 59 Abs. 4 StGB . Da die Fünfjahresfrist gemäss Art. 59 Abs. 4 Satz 1 StGB noch bis zum 6. Juni 2022 läuft, bildet nach wie vor der Anordnungsentscheid vom 7. Juni 2017 die Grundlage für den Freiheitsentzug des Beschwerdeführers. Folglich erscheint auch die vorinstanzliche Feststellung, die Haft des Beschwerdeführers habe während der Dauer vom 18. Januar 2018 bis zum 18. April 2018 nicht auf einem richterlichen Entscheid beruht, der die gesetzlichen Anforderungen gemäss Art. 31 Abs. 1 BV und Art. 5 Ziff. 1 EMRK erfüllte, überflüssig.</w:t>
      </w:r>
    </w:p>
    <w:p>
      <w:r>
        <w:t>Da das Verlängerungsverfahren in Verletzung von Art. 59 Abs. 4 StGB verfrüht erfolgte, fehlt es vorliegend bereits an den zeitlichen Voraussetzungen für eine Verlängerung der stationären therapeutischen Massnahme. Der vorinstanzliche Beschluss ist daher aufzuheben, ohne dass die Rügen des Beschwerdeführers inhaltlich zu prüfen sind. Damit ist auch die Frage, ob seine derzeitige Unterbringung EMRK-konform ist, nicht Gegenstand des vorliegenden Verfahrens. Bei dieser Ausgangslage kann auf die Einholung von Vernehmlassungen verzichtet werden (vgl. BGE 133 IV 293 E. 3.4.2 S. 296 i.f.; Urteil 6B_1076/2016 vom 12. Januar 2017 E. 4 mit Hinweisen). Die Vorinstanz wird über die Auferlegung der Kosten und Entschädigungen, die weitestgehend durch das unnötige Verlängerungsverfahren von den kantonalen Behörden verschuldet wurden, zu befinden haben.</w:t>
      </w:r>
    </w:p>
    <w:p>
      <w:r>
        <w:rPr>
          <w:b/>
        </w:rPr>
        <w:t>E. 2</w:t>
      </w:r>
    </w:p>
    <w:p>
      <w:r>
        <w:t>Die Beschwerde ist im Sinne der Erwägungen insofern teilweise gutzuheissen, als dass der vorinstanzliche Beschluss vom 12. September 2018 aufgehoben und die Sache zur neuen Entscheidung an die Vorinstanz zurückgewiesen wird.</w:t>
      </w:r>
    </w:p>
    <w:p>
      <w:r>
        <w:t>Es sind keine Kosten zu erheben ( Art. 66 Abs. 3 und 4 BGG ). Der Kanton Bern hat dem Beschwerdeführer für das bundesgerichtliche Verfahren eine angemessene Entschädigung zu bezahlen (Art. 68 Abs. 4 i.V.m. Art. 66 Abs. 3 BGG ). Diese ist praxisgemäss seiner Rechtsvertreterin auszurichten. Damit wird sein Gesuch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