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6B_1021/2021 vom 16. Februar 2022</w:t>
      </w:r>
    </w:p>
    <w:p>
      <w:r>
        <w:t>Bundesgericht, 2022-02-16, FR</w:t>
      </w:r>
    </w:p>
    <w:p>
      <w:r>
        <w:rPr>
          <w:b/>
        </w:rPr>
        <w:t xml:space="preserve">Quelle: </w:t>
      </w:r>
      <w:r>
        <w:t>https://mcp.opencaselaw.ch/entscheid/bger_6B_1021_2021</w:t>
      </w:r>
    </w:p>
    <w:p>
      <w:r>
        <w:t>FR: TF 6B_1021/2021 du 16 février 2022</w:t>
      </w:r>
    </w:p>
    <w:p>
      <w:r>
        <w:t>IT: TF 6B_1021/2021 del 16 febbraio 2022</w:t>
      </w:r>
    </w:p>
    <w:p>
      <w:pPr>
        <w:pStyle w:val="Heading2"/>
      </w:pPr>
      <w:r>
        <w:t>Erwägungen</w:t>
      </w:r>
    </w:p>
    <w:p>
      <w:r>
        <w:rPr>
          <w:b/>
        </w:rPr>
        <w:t>E. 1</w:t>
      </w:r>
    </w:p>
    <w:p>
      <w:r>
        <w:t>Invoquant une violation de l' art. 406 al. 2 CPP , le recourant se plaint que la cour cantonale a ordonné une procédure d'appel écrite en lieu et place d'une procédure orale. Il soutient notamment qu'une procédure écrite était exclue dès lors que le jugement attaqué en appel n'avait pas été rendu par un juge unique (cf. art. 406 al. 2 let. b CPP ), mais par une autorité collégiale, soit en l'occurrence par le tribunal des mineurs.</w:t>
      </w:r>
    </w:p>
    <w:p>
      <w:r>
        <w:rPr>
          <w:b/>
        </w:rPr>
        <w:t>E. 1.1</w:t>
      </w:r>
    </w:p>
    <w:p>
      <w:r>
        <w:t>Les art. 398 ss CPP , relatifs à la procédure d'appel, sont applicables en matière de droit pénal des mineurs (cf. art. 3 al. 1 et 2</w:t>
      </w:r>
    </w:p>
    <w:p>
      <w:r>
        <w:t>a contrario de la loi fédérale sur la procédure pénale applicable aux mineurs [PPMin; RS 312.1]; cf. également art. 40 PPMin ).</w:t>
      </w:r>
    </w:p>
    <w:p>
      <w:r>
        <w:rPr>
          <w:b/>
        </w:rPr>
        <w:t>E. 1.2</w:t>
      </w:r>
    </w:p>
    <w:p>
      <w:r>
        <w:t>Selon l'intention du législateur, la procédure d'appel est en principe orale. L'appel ne peut être traité en procédure écrite qu'à titre exceptionnel et aux conditions restrictives de l' art. 406 CPP , dont la réalisation doit être examinée d'office par la juridiction d'appel ( ATF 147 IV 127 consid. 2.2.1; 143 IV 483 consid. 2.1.1; 139 IV 290 consid. 1.1). Ainsi, en vertu de l' art. 406 al. 1 CPP , la juridiction d'appel ne peut mettre en oeuvre une procédure écrite, indépendamment d'un accord des parties, que si seuls des points de droit doivent être tranchés (let. a), si seules les conclusions civiles sont attaquées (let. b), si le jugement de première instance ne porte que sur des contraventions et que l'appel ne porte pas sur une déclaration de culpabilité pour un crime ou un délit (let. c), si seuls des frais, des indemnités ou la réparation du tort moral sont attaqués (let. d) ou si seules des mesures au sens des art. 66 à 73 CP sont attaquées (let. e). Avec l'accord des parties, la direction de la procédure peut en outre ordonner la procédure écrite, selon l' art. 406 al. 2 CPP , lorsque la présence du prévenu aux débats d'appel n'est pas indispensable (let. a) et lorsque l'appel est rendu par un juge unique (let. b).</w:t>
      </w:r>
    </w:p>
    <w:p>
      <w:r>
        <w:t>L'introduction de la limitation décrite à l' art. 406 al. 2 let. b CPP trouve son origine dans le fait que le législateur entendait réserver la possibilité de renoncer à des débats oraux qu'aux seules causes de relativement faible importance ( ATF 147 IV 127 consid. 2.2.1; cf. Message du Conseil fédéral du 21 décembre 2005 relatif à l'unification du droit de la procédure pénale, FF 2006 1057, ch. 2.9.3.2 p. 1301).</w:t>
      </w:r>
    </w:p>
    <w:p>
      <w:r>
        <w:t>Cela étant, l'accord des parties pour la procédure écrite n'est pas susceptible de se substituer aux conditions prévues par l' art. 406 al. 2 let. a et b CPP , mais constitue bien une condition complémentaire à celles-ci, lesquelles doivent être réalisées cumulativement ( ATF 147 IV 127 consid. 2.2.2).</w:t>
      </w:r>
    </w:p>
    <w:p>
      <w:r>
        <w:rPr>
          <w:b/>
        </w:rPr>
        <w:t>E. 1.3</w:t>
      </w:r>
    </w:p>
    <w:p>
      <w:r>
        <w:t>En l'espèce, le jugement attaqué en appel avait été rendu le 18 novembre 2019 par le Tribunal pénal des mineurs des Montagnes et du Val-de-Ruz, à savoir une autorité composée d'un président et de deux assesseurs (cf. art. 7 al. 2 PPMin ), qui avait en l'occurrence été appelé à statuer sur les infractions retenues dans l'ordonnance pénale du Juge des mineurs du 24 avril 2019, à laquelle le recourant avait formé opposition (cf. art. 34 al. 2 PPMin ).</w:t>
      </w:r>
    </w:p>
    <w:p>
      <w:r>
        <w:t>Il faut ainsi donner acte au recourant qu'une procédure d'appel écrite était exclue au regard de l' art. 406 al. 2 CPP , la condition nécessaire d'un jugement rendu par un juge unique, prévue par la let. b de cette disposition, n'étant pas réalisée. Il n'est à cet égard pas déterminant qu'interpellé sur ce point par la direction de la procédure de la juridiction d'appel, il avait expressément donné son accord à une procédure écrite, une telle circonstance n'étant pas susceptible, au regard de la jurisprudence précitée, de pallier la non-réalisation des autres conditions de l' art. 406 al. 2 CPP . Il est également indifférent que la condamnation du recourant portait sur une peine dont la quotité (10 demi-journées de prestation personnelle) était largement inférieure à celle maximale susceptible d'être prononcée en première instance par un juge unique en vertu de l' art. 19 al. 2 let. a CPP , à savoir 2 ans de peine privative de liberté. En effet, au regard de l' art. 34 al. 3 PPMin , et contrairement à ce qui prévaut en procédure pénale fédérale ordinaire, ce n'est que dans le cas d'une opposition à une ordonnance pénale portant sur une contravention, dans un canton ayant désigné des procureurs des mineurs comme autorité d'instruction, hypothèse non réalisée en l'espèce, que le jugement de première instance est susceptible d'être rendu par le président du tribunal des mineurs en tant que juge unique.</w:t>
      </w:r>
    </w:p>
    <w:p>
      <w:r>
        <w:t>Au surplus, la mise en oeuvre d'une procédure écrite n'était pas non plus envisageable en application de l' art. 406 al. 1 CPP . Dans sa déclaration d'appel, le recourant avait ainsi fait état de son intention de contester l'entier du jugement, dont on rappelle qu'il ne portait pas uniquement sur des contraventions (cf. art. 406 al. 1 let . c CPP). Du reste, son mémoire d'appel motivé ( art. 406 al. 3 CPP ) contenait des griefs relevant non seulement du droit, mais également de la constatation des faits (cf. art. 406 al. 1 let. a CPP ).</w:t>
      </w:r>
    </w:p>
    <w:p>
      <w:r>
        <w:rPr>
          <w:b/>
        </w:rPr>
        <w:t>E. 2</w:t>
      </w:r>
    </w:p>
    <w:p>
      <w:r>
        <w:t>Il s'ensuit que le recours doit être admis, le jugement attaqué annulé et la cause renvoyée à la cour cantonale pour qu'elle mette en oeuvre une procédure d'appel orale, puis qu'elle rende une nouvelle décision. 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p. 296; arrêts 6B_1100/2020 du 16 décembre 2021 consid. 6; 6B_662/2020 du 18 août 2020 consid. 2).</w:t>
      </w:r>
    </w:p>
    <w:p>
      <w:r>
        <w:t>Le recourant obtient gain de cause et n'a pas à supporter de frais. Il peut en outre prétendre à des dépens qui seront mis à la charge du canton de Neuchâtel ( art. 68 al. 2 LTF ), ce qui rend au surplus sans objet sa demande d'assistance judiciaire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