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6B_101/2010 vom 4. Juni 2010</w:t>
      </w:r>
    </w:p>
    <w:p>
      <w:r>
        <w:t>Bundesgericht, 2010-06-04, FR</w:t>
      </w:r>
    </w:p>
    <w:p>
      <w:r>
        <w:rPr>
          <w:b/>
        </w:rPr>
        <w:t xml:space="preserve">Quelle: </w:t>
      </w:r>
      <w:r>
        <w:t>https://mcp.opencaselaw.ch/entscheid/bger_6B_101_2010</w:t>
      </w:r>
    </w:p>
    <w:p>
      <w:r>
        <w:t>FR: TF 6B_101/2010 du 4 juin 2010</w:t>
      </w:r>
    </w:p>
    <w:p>
      <w:r>
        <w:t>IT: TF 6B_101/2010 del 4 giugno 2010</w:t>
      </w:r>
    </w:p>
    <w:p>
      <w:pPr>
        <w:pStyle w:val="Heading2"/>
      </w:pPr>
      <w:r>
        <w:t>Erwägungen</w:t>
      </w:r>
    </w:p>
    <w:p>
      <w:r>
        <w:rPr>
          <w:b/>
        </w:rPr>
        <w:t>E. 1</w:t>
      </w:r>
    </w:p>
    <w:p>
      <w:r>
        <w:t>Condamnée à une peine privative de liberté de huit mois, la recourante conteste la sévérité de celle-ci. En revanche, elle ne critique pas le genre de la peine.</w:t>
      </w:r>
    </w:p>
    <w:p>
      <w:r>
        <w:rPr>
          <w:b/>
        </w:rPr>
        <w:t>E. 1.1</w:t>
      </w:r>
    </w:p>
    <w:p>
      <w:r>
        <w:t>L' art. 47 CP prévoit que le juge fixe la peine d'après la culpabilité de l'auteur. Il prend en considération les antécédents et la situation personnelle de ce dernier ainsi que l'effet de la peine sur son avenir (al. 1). L'alinéa 2 de cette disposition énumère une série de critères à prendre en considération pour déterminer la culpabilité de l'auteur ( ATF 134 IV 17 consid. 2.1 et les références citées).</w:t>
      </w:r>
    </w:p>
    <w:p>
      <w:r>
        <w:t>Pour fixer la peine, le juge dispose d'un large pouvoir d'appréciation. Il y a toutefois violation du droit fédéral lorsque le juge sort du cadre légal, se fonde sur des critères étrangers à l' art. 47 CP , omet de prendre en considération des éléments d'appréciation prévus par cette disposition ou, enfin, si la peine qu'il prononce est exagérément sévère ou clémente au point de constituer un abus du pouvoir d'appréciation ( ATF 134 IV 17 consid. 2.1; 129 IV 6 consid. 6.1 et les références citées).</w:t>
      </w:r>
    </w:p>
    <w:p>
      <w:r>
        <w:rPr>
          <w:b/>
        </w:rPr>
        <w:t>E. 1.2</w:t>
      </w:r>
    </w:p>
    <w:p>
      <w:r>
        <w:t>La recourante conteste que sa faute soit lourde. Elle fait valoir que sa participation aux lésions infligées à la victime n'était pas délibérée mais provoquée par l'enchaînement des circonstances. En particulier, sa fureur aurait été attisée par les déclarations de sa soeur qui lui aurait affirmé que la victime lui avait transmis le virus HIV en la griffant lors du premier échange de coups.</w:t>
      </w:r>
    </w:p>
    <w:p>
      <w:r>
        <w:t>Selon l'état de fait cantonal, la recourante a frappé sa victime jusqu'à ce qu'elle tombe et l'a rouée de coups alors qu'elle était au sol; elle a continué de la frapper alors qu'elle s'était relevée, la faisant tomber à nouveau et l'a ensuite encore tapée une fois au sol. Contrairement à ce qu'elle soutient, elle a agi purement gratuitement. La victime ne lui avait rien fait. C'est en vain qu'elle invoque qu'elle croyait que celle-ci avait transmis le sida à sa soeur, celle-ci n'ayant qu'une légère griffure à la main. Au vu du nombre de coups infligés et de leur violence, ainsi que des lésions subies par la victime, la cour cantonale a admis à juste titre que la faute de la recourante était lourde. Le grief soulevé doit être rejeté.</w:t>
      </w:r>
    </w:p>
    <w:p>
      <w:r>
        <w:rPr>
          <w:b/>
        </w:rPr>
        <w:t>E. 1.3</w:t>
      </w:r>
    </w:p>
    <w:p>
      <w:r>
        <w:t>La recourante fait valoir que son casier judiciaire ne comporte qu'une seule condamnation prononcée en 1999 pour des fait survenus en 1997 et que, depuis lors, elle n'a plus préoccupé les services de police. Elle reproche dès lors à la cour cantonale de ne pas avoir tenu compte de son bon comportement lors de la fixation de la peine dans un sens atténuant.</w:t>
      </w:r>
    </w:p>
    <w:p>
      <w:r>
        <w:t>Ce n'est qu'exceptionnellement, lorsque le comportement conforme à la loi est extraordinaire, qu'il peut en être tenu compte, comme élément atténuant, lors de l'appréciation de la personnalité de l'auteur. Or, en l'occurrence, la recourante n'a certes pas commis d'infractions depuis 1997, mais ce comportement n'a rien d'extraordinaire, de sorte que c'est à juste titre que la cour cantonale n'en a pas tenu compte. Le grief de la recourante doit donc être rejeté.</w:t>
      </w:r>
    </w:p>
    <w:p>
      <w:r>
        <w:rPr>
          <w:b/>
        </w:rPr>
        <w:t>E. 1.4</w:t>
      </w:r>
    </w:p>
    <w:p>
      <w:r>
        <w:t>La recourante soutient que sa culpabilité est amoindrie du fait d'une humeur labile, voire irrationnelle suite à de fortes émotions.</w:t>
      </w:r>
    </w:p>
    <w:p>
      <w:r>
        <w:t>Le premier juge a expliqué qu'il a été sensible à la situation socio-économique et aux antécédents familiaux de la recourante, tels que décrits dans l'expertise du 10 août 2004 adressée à la Justice de paix dans le cadre d'une procédure de limitation d'autorité parentale. Il a considéré que le diagnostic posé dans ce cadre permettait d'affirmer qu'il avait une influence sur la culpabilité de l'intéressée. Il en a tenu compte dans la fixation de la peine, sans toutefois retenir formellement une diminution de la responsabilité au sens de l' art. 19 CP . Il a également admis que l'alcool avait joué un rôle quelque peu désinhibant. La cour cantonale s'est ralliée au raisonnement du premier juge. Dans ces conditions, la cour de céans ne voit pas en quoi la cour cantonale n'aurait pas suffisamment tenu compte de la situation personnelle de la recourante. Le grief soulevé doit être rejeté.</w:t>
      </w:r>
    </w:p>
    <w:p>
      <w:r>
        <w:rPr>
          <w:b/>
        </w:rPr>
        <w:t>E. 1.5</w:t>
      </w:r>
    </w:p>
    <w:p>
      <w:r>
        <w:t>La recourante ne cite en définitive aucun élément important, propre à modifier la peine, qui aurait été omis ou pris en considération à tort. Il convient dès lors d'examiner si, au vu des circonstances, la peine infligée apparaît exagérément sévère au point de constituer un abus du pouvoir d'appréciation.</w:t>
      </w:r>
    </w:p>
    <w:p>
      <w:r>
        <w:t>En l'espèce, la faute de la recourante est lourde vu la violence et le nombre de coups infligés à la victime (cf. consid. 1.2). A décharge, on peut tenir compte, dans le cadre de sa situation personnelle, des troubles de la personnalité constatés dans l'expertise du 10 août 2004, du rôle quelque peu désinhibant joué par l'alcool ainsi que du contexte familial précaire qui l'entoure. Dans ces conditions, la peine privative de liberté de huit mois n'apparaît pas sévère, de sorte qu'il faille conclure à un abus du large pouvoir d'appréciation accordé à la cour cantonale. Le grief tiré de la violation de l' art. 47 CP doit donc être rejeté.</w:t>
      </w:r>
    </w:p>
    <w:p>
      <w:r>
        <w:rPr>
          <w:b/>
        </w:rPr>
        <w:t>E. 2</w:t>
      </w:r>
    </w:p>
    <w:p>
      <w:r>
        <w:t>Condamnée avec sursis, la recourante se prévaut d'une violation de l' art. 44 CP en relation avec la durée du délai d'épreuve de quatre ans.</w:t>
      </w:r>
    </w:p>
    <w:p>
      <w:r>
        <w:rPr>
          <w:b/>
        </w:rPr>
        <w:t>E. 2.1</w:t>
      </w:r>
    </w:p>
    <w:p>
      <w:r>
        <w:t>Aux termes de l' art. 44 al. 1 CP , le juge impartit un délai d'épreuve de deux à cinq ans au condamné dont la peine a été suspendue. Dans le cadre ainsi fixé par la loi, il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(arrêt du 23 février 2009 6B_1030/2008 consid. 3.1; ATF 95 IV 121 consid. 1 p. 122). La durée doit être déterminée de manière à offrir la plus grande probabilité que le condamné ne récidivera pas (SCHNEIDER/GARRÉ, Basler Kommentar, Strafrecht I, 2e éd., 2007, art. 44, n. 4). Dans ce contexte également, les autorités cantonales disposent d'un large pouvoir d'appréciation et, dans la mesure où elles respectent le cadre légal, le Tribunal fédéral considère que le droit fédéral a été violé seulement lorsque le juge a abusé de ce pouvoir d'appréciation (arrêt du 23 février 2009 6B_1030/2008 consid. 3.1; ATF 95 IV 121 consid. 1 p. 122).</w:t>
      </w:r>
    </w:p>
    <w:p>
      <w:r>
        <w:rPr>
          <w:b/>
        </w:rPr>
        <w:t>E. 2.2</w:t>
      </w:r>
    </w:p>
    <w:p>
      <w:r>
        <w:t>En l'espèce, la recourante a persisté à soutenir qu'elle-même et sa soeur avaient été les victimes de A.________, qui se serait automutilée en leur présence. La cour cantonale a considéré que cette attitude traduisait un manque de prise de conscience relativement prononcé, qui pouvait donner lieu à craindre à un important risque de réitération. Malgré cela, elle a néanmoins accordé le sursis, mais fixé un délai d'épreuve relativement long, dans l'idée d'accompagner la recourante dans une période de resocialisation. Ce faisant, elle n'a pas outrepassé son pouvoir d'appréciation. Le grief tiré de la violation de l' art. 44 CP est donc également mal fondé.</w:t>
      </w:r>
    </w:p>
    <w:p>
      <w:r>
        <w:rPr>
          <w:b/>
        </w:rPr>
        <w:t>E. 3</w:t>
      </w:r>
    </w:p>
    <w:p>
      <w:r>
        <w:t>Le recours doit être rejeté.</w:t>
      </w:r>
    </w:p>
    <w:p>
      <w:r>
        <w:t>La recourante qui succombe supportera les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