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1014/2018 vom 15. Oktober 2018</w:t>
      </w:r>
    </w:p>
    <w:p>
      <w:r>
        <w:t>Bundesgericht, 2018-10-15, DE</w:t>
      </w:r>
    </w:p>
    <w:p>
      <w:r>
        <w:rPr>
          <w:b/>
        </w:rPr>
        <w:t xml:space="preserve">Quelle: </w:t>
      </w:r>
      <w:r>
        <w:t>https://mcp.opencaselaw.ch/entscheid/bger_6B_1014_2018</w:t>
      </w:r>
    </w:p>
    <w:p>
      <w:r>
        <w:t>FR: TF 6B 1014/2018 du 15 octobre 2018</w:t>
      </w:r>
    </w:p>
    <w:p>
      <w:r>
        <w:t>IT: TF 6B 1014/2018 del 15 ottobre 2018</w:t>
      </w:r>
    </w:p>
    <w:p>
      <w:pPr>
        <w:pStyle w:val="Heading2"/>
      </w:pPr>
      <w:r>
        <w:t>Regeste</w:t>
      </w:r>
    </w:p>
    <w:p>
      <w:r>
        <w:t>Nichtanhandnahme, Nichteintreten | Strafprozess</w:t>
      </w:r>
    </w:p>
    <w:p>
      <w:pPr>
        <w:pStyle w:val="Heading2"/>
      </w:pPr>
      <w:r>
        <w:t>Erwägungen</w:t>
      </w:r>
    </w:p>
    <w:p>
      <w:r>
        <w:rPr>
          <w:b/>
        </w:rPr>
        <w:t>E. 1</w:t>
      </w:r>
    </w:p>
    <w:p>
      <w:r>
        <w:t>Die Nichtanhandnahmeverfügung der Oberstaatsanwaltschaft vom 27. September 2018 ist beim Obergericht des Kantons Aargau, Beschwerdekammer in Strafsachen, anfechtbar (vgl. angefochtene Verfügung, Rechtsmittelbelehrung). Sie ist nicht letztinstanzlich. Auf die Beschwerde ist daher in Anwendung von Art. 80 Abs. 1 BGG im Verfahren nach Art. 108 BGG nicht einzutreten. Zugleich ist die Sache gestützt auf Art. 30 Abs. 2 BGG zuständigkeitshalber an das Obergericht des Kantons Aargau zu überweisen.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