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1008/2017 vom 5. April 2018</w:t>
      </w:r>
    </w:p>
    <w:p>
      <w:r>
        <w:t>Bundesgericht, 2018-04-05, FR</w:t>
      </w:r>
    </w:p>
    <w:p>
      <w:r>
        <w:rPr>
          <w:b/>
        </w:rPr>
        <w:t xml:space="preserve">Quelle: </w:t>
      </w:r>
      <w:r>
        <w:t>https://mcp.opencaselaw.ch/entscheid/bger_6B_1008_2017</w:t>
      </w:r>
    </w:p>
    <w:p>
      <w:r>
        <w:t>FR: TF 6B 1008/2017 du 5 avril 2018</w:t>
      </w:r>
    </w:p>
    <w:p>
      <w:r>
        <w:t>IT: TF 6B 1008/2017 del 5 aprile 2018</w:t>
      </w:r>
    </w:p>
    <w:p>
      <w:pPr>
        <w:pStyle w:val="Heading2"/>
      </w:pPr>
      <w:r>
        <w:t>Regeste</w:t>
      </w:r>
    </w:p>
    <w:p>
      <w:r>
        <w:t>Indemnité de la partie plaignante, droit d'être entendu, motivation; libération des sûretés, utilisation des sûretés libérées, sûretés fournies par le prévenu, arbitraire | Procédure pénale</w:t>
      </w:r>
    </w:p>
    <w:p>
      <w:pPr>
        <w:pStyle w:val="Heading2"/>
      </w:pPr>
      <w:r>
        <w:t>Erwägungen</w:t>
      </w:r>
    </w:p>
    <w:p>
      <w:r>
        <w:rPr>
          <w:b/>
        </w:rPr>
        <w:t>E. 1</w:t>
      </w:r>
    </w:p>
    <w:p>
      <w:r>
        <w:t>La décision attaquée concerne notamment la question des frais de défense dus à la partie plaignante dans le cadre d'une procédure pénale. Le recours en matière pénale est ouvert (cf. ATF 135 IV 43 consid. 1.1.1 p. 45 s.; arrêt 6B_90/2017 du 22 novembre 2017 consid. 2).</w:t>
      </w:r>
    </w:p>
    <w:p>
      <w:r>
        <w:rPr>
          <w:b/>
        </w:rPr>
        <w:t>E. 2</w:t>
      </w:r>
    </w:p>
    <w:p>
      <w:r>
        <w:t>Invoquant les art. 112 LTF , 29 al. 1 Cst. et 6 § 1 CEDH , les recourants se plaignent d'une violation du droit d'être entendu et de l' art. 433 CPP .</w:t>
      </w:r>
    </w:p>
    <w:p>
      <w:r>
        <w:rPr>
          <w:b/>
        </w:rPr>
        <w:t>E. 2.1</w:t>
      </w:r>
    </w:p>
    <w:p>
      <w:r>
        <w:t>L' 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 ATF 139 IV 102 consid. 4.1 et 4.3 p. 107 s.). Dans ce dernier cas, la partie plaignante peut être indemnisée pour les frais de défense privée en relation avec la plainte pénale (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p. 107). En particulier, les démarches doivent apparaître nécessaires et adéquates pour la défense raisonnable du point de vue de la partie plaignante ( ATF 139 IV 102 consid. 4.3 p. 108; arrêt 6B_524/2017 du 22 novembre 2017 consid. 2.1).</w:t>
      </w:r>
    </w:p>
    <w:p>
      <w:r>
        <w:rPr>
          <w:b/>
        </w:rPr>
        <w:t>E. 2.2</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et la contester utilement s'il y a lieu et que l'autorité de recours puisse exercer son contrôle (cf. ATF 141 IV 249 consid. 1.3.1 p. 253; 139 IV 179 consid. 2.2 p. 183; arrêt 6B_496/2015 du 6 avril 2016 consid. 2.1).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 6B_124/2012 du 22 juin 2012 consid. 2.2 et les références citées). Cette jurisprudence vaut aussi pour la fixation d'une indemnité selon l' art. 433 CPP (arrêt 6B_833/2015 du 30 août 2016 consid. 2.3).</w:t>
      </w:r>
    </w:p>
    <w:p>
      <w:r>
        <w:rPr>
          <w:b/>
        </w:rPr>
        <w:t>E. 2.3</w:t>
      </w:r>
    </w:p>
    <w:p>
      <w:r>
        <w:t>En l'occurrence, après avoir souligné que les premiers juges avaient justifié la réduction de la note d'honoraires du fait de la " double activité " de deux avocats, mais n'avaient " pas pour autant réduit la note d'honoraires de moitié ", la cour cantonale a majoré de 43'497 fr. 60 à 47'740 fr. l'indemnité octroyée sur la base de l' art. 433 CPP . Elle a constaté qu'une partie de l'activité, " en particulier les conférences et les communications entre les avocats " avait été engendrée par la présence de deux conseils " alors qu'il n'[était] pas contesté que l'intervention d'un seul était suffisant ". La motivation de la cour cantonale ne permet pas de comprendre clairement si elle a considéré que l'intervention de deux avocats pour deux parties plaignantes n'était pas nécessaire au sens de la jurisprudence précitée (supra consid. 2.1). Elle a ensuite relevé que " certains postes " ne se justifiaient pas comme étant des dépenses obligatoires, " notamment ceux relevant plus du travail de secrétariat ". Dans ces conditions, force est de constater que la cour cantonale n'a pas indiqué quelles prétentions, figurant sur les listes de frais produites, elle considérait comme injustifiées et pourquoi, de sorte que les recourants ne pouvaient pas comprendre son raisonnement, ce d'autant plus qu'il ressort du dossier qu'une partie de l'indemnité requise concernait la note d'honoraires payée au précédent conseil des recourants. Comme le relèvent à juste titre les recourants, à titre d'exemple, il n'est pas possible de déterminer si la facture séparée de 1'086 fr. pour des frais de copie a été prise en considération dans l'indemnité octroyée. Le raisonnement de l'autorité précédente ne répond ainsi pas aux réquisits de l' art. 112 al. 1 let. b LTF et rend impossible pour l'autorité de céans la vérification de la correcte application de l' art. 433 CPP . Le jugement cantonal doit par conséquent être annulé sur ce point et la cause renvoyée à l'autorité d'appel pour nouvelle décision. Pour le surplus, c'est en vain que les recourants se plaignent du fait que la cour cantonale n'a pas fait partir les intérêts de la note d'honoraires du précédent conseil à partir de la date à laquelle elle a été rédigée. En effet, dans la mesure où elle ne vise pas à réparer le dommage subi par la partie plaignante ensuite de l'infraction mais à rembourser des dépens, l'indemnité à titre de l' art. 433 al. 1 CPP ne saurait produire des intérêts compensatoires (cf. ATF 143 IV 495 consid. 2.2.4).</w:t>
      </w:r>
    </w:p>
    <w:p>
      <w:r>
        <w:rPr>
          <w:b/>
        </w:rPr>
        <w:t>E. 3</w:t>
      </w:r>
    </w:p>
    <w:p>
      <w:r>
        <w:t>Les recourants se plaignent ensuite d'une violation des art. 97 et 105 al. 2 LTF ainsi que des art. 29 al. 2 Cst. et 239 al. 2 CPP. Ils soutiennent en substance que l'intimé X.________ a lui-même fourni les sûretés.</w:t>
      </w:r>
    </w:p>
    <w:p>
      <w:r>
        <w:rPr>
          <w:b/>
        </w:rPr>
        <w:t>E. 3.1</w:t>
      </w:r>
    </w:p>
    <w:p>
      <w:r>
        <w:t>Aux termes de l' art. 239 al. 2 CPP , " les sûretés fournies par le prévenu qui ont été libérées peuvent être utilisées pour payer les peines pécuniaires, les amendes les frais et les indemnités mis à sa charge ". A contrario, les sûretés fournies par un tiers doivent lui être rendues dans leur intégralité (cf. arrêt 6B_250/2013 du 13 janvier 2014 consid. 4.2; ALEXIS SCHMOCKER, Commentaire romand, Code de procédure pénal, 2011, n° 7 ad art. 239 CP ).</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arrêt 6B_1015/2017 du 13 mars 2018 consid. 1.1).</w:t>
      </w:r>
    </w:p>
    <w:p>
      <w:r>
        <w:rPr>
          <w:b/>
        </w:rPr>
        <w:t>E. 3.3</w:t>
      </w:r>
    </w:p>
    <w:p>
      <w:r>
        <w:t>En l'espèce, la cour cantonale a jugé que rien dans le dossier ne permettait de douter que les sûretés fournies pour l'intimé X.________ l'avaient été par des proches. Elle a relevé que l'intéressé était déjà détenu depuis six mois au moment du versement des sûretés et qu'au vu de ses modestes revenus et du fait qu'il ne disposait vraisemblablement pas d'économies, il lui était impossible de fournir une telle somme.</w:t>
      </w:r>
    </w:p>
    <w:p>
      <w:r>
        <w:rPr>
          <w:b/>
        </w:rPr>
        <w:t>E. 3.4</w:t>
      </w:r>
    </w:p>
    <w:p>
      <w:r>
        <w:t>Les recourants reprochent à la cour cantonale d'avoir arbitrairement omis de prendre en considération un moyen de preuve qu'ils considèrent comme " essentiel à la solution du litige ". Ils se réfèrent à une pièce intitulée " mise en liberté provisoire: dépôt de sûretés ", sur laquelle il est inscrit que l'ayant droit économique des sûretés déposées est l'étude d'avocats C.________. Ils en déduisent que, dans la mesure où l'avocat est le représentant de l'intimé X.________, les sûretés ont été déposées directement par celui-ci. Ce raisonnement ne saurait être suivi. En effet, il ressort des faits constatés par la cour cantonale (arrêt attaqué, p. 15) et des pièces du dossier (pièces H-81042 et 81043), qu'un des proches de l'intimé X.________ a versé des sûretés pour un montant de 10'000 fr.; les autres 10'000 fr. ont été versés par la mère de l'intéressé, laquelle a dû les emprunter à des membres de sa famille ( art. 105 al. 2 LTF ). Le fait que les fonds ont été déposés par l'intermédiaire d'un avocat ne signifie pas qu'ils proviennent de l'intimé. Il découle de ce qui précède que les sûretés fournies pour l'intimé X.________ l'ont été par des tiers, de sorte que c'est à bon droit que la cour cantonale a jugé que les conditions pour la libération des fonds étaient réalisées et que les fonds devaient être restitués aux proches concernés, l'intimé ayant exécuté l'entier de sa peine privative de liberté ferme. Le grief des recourants est rejeté dans la mesure où il est recevable.</w:t>
      </w:r>
    </w:p>
    <w:p>
      <w:r>
        <w:rPr>
          <w:b/>
        </w:rPr>
        <w:t>E. 4</w:t>
      </w:r>
    </w:p>
    <w:p>
      <w:r>
        <w:t>Il découle de ce qui précède que le recours doit être partiellement admis (cf. consid. 2 supra), l'arrêt attaqué annulé et la cause renvoyée à la cour cantonale pour nouvelle décision. Pour le reste, il doit être rejeté dans la mesure où il est recevable (cf. consid. 3.4 supra). Au regard de la nature procédurale du vice examiné, il peut être procédé au renvoi sans ordonner préalablement un échange d'écritures (cf. arrêts 6B_460/2016 du 27 février 2017 consid. 3 et 6B_833/2015 du 30 août 2016 consid. 5). Les recourants, qui n'obtiennent que partiellement gain de cause, doivent supporter une partie des frais de la cause (art. 65 al. 2 et 66 al. 1 LTF). Ils peuvent prétendre à des dépens réduits à la charge de l'Etat de Genève ( art. 68 al. 1 LTF ), lequel est dispensé de tout frais ( art. 66 al. 4 LTF ). L'intimé 4 avait sollicité l'assistance judiciaire dans le cadre de sa détermination sur l'effet suspensif tout en s'en rapportant à justice. Dans cette configuration, il ne se justifie pas de donner suite à sa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