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6B_1008/2016 vom 22. November 2017</w:t>
      </w:r>
    </w:p>
    <w:p>
      <w:r>
        <w:t>Bundesgericht, 2017-11-22, FR</w:t>
      </w:r>
    </w:p>
    <w:p>
      <w:r>
        <w:rPr>
          <w:b/>
        </w:rPr>
        <w:t xml:space="preserve">Quelle: </w:t>
      </w:r>
      <w:r>
        <w:t>https://mcp.opencaselaw.ch/entscheid/bger_6B_1008_2016</w:t>
      </w:r>
    </w:p>
    <w:p>
      <w:r>
        <w:t>FR: TF 6B_1008/2016 du 22 novembre 2017</w:t>
      </w:r>
    </w:p>
    <w:p>
      <w:r>
        <w:t>IT: TF 6B_1008/2016 del 22 novembre 2017</w:t>
      </w:r>
    </w:p>
    <w:p>
      <w:pPr>
        <w:pStyle w:val="Heading2"/>
      </w:pPr>
      <w:r>
        <w:t>Erwägungen</w:t>
      </w:r>
    </w:p>
    <w:p>
      <w:r>
        <w:rPr>
          <w:b/>
        </w:rPr>
        <w:t>E. 1.1</w:t>
      </w:r>
    </w:p>
    <w:p>
      <w:r>
        <w:t>Selon l'art. 81 al. 1 let. a et b ch. 5 LTF, la partie plaignante est habilitée à recourir au Tribunal fédéral si elle a participé à la procédure de dernière instance cantonale et si la décision attaquée peut avoir des effets sur le jugement de ses prétentions civiles.</w:t>
      </w:r>
    </w:p>
    <w:p>
      <w:r>
        <w:t>En l'espèce, la recourante est la mère de la victime, qui est décédée lors de l'accident de chantier du 9 janvier 2009. Les 11 juin 2009 et 14 septembre 2010, elle a déposé une plainte pénale et s'est constituée partie plaignante. Elle a pris des conclusions civiles sur le fond et a participé à toute la procédure. Enfin, le renversement du jugement attaqué peut avoir des effets sur ses prétentions civiles, lesquelles ont été rejetées. En conséquence, elle a bien la qualité pour recourir.</w:t>
      </w:r>
    </w:p>
    <w:p>
      <w:r>
        <w:rPr>
          <w:b/>
        </w:rPr>
        <w:t>E. 1.2</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142 III 364 consid. 2.4 p. 368).</w:t>
      </w:r>
    </w:p>
    <w:p>
      <w:r>
        <w:rPr>
          <w:b/>
        </w:rPr>
        <w:t>E. 2</w:t>
      </w:r>
    </w:p>
    <w:p>
      <w:r>
        <w:t>La recourante soutient que la cour cantonale a libéré à tort l'intimé du chef d'accusation d'homicide par négligence.</w:t>
      </w:r>
    </w:p>
    <w:p>
      <w:r>
        <w:rPr>
          <w:b/>
        </w:rPr>
        <w:t>E. 2.1</w:t>
      </w:r>
    </w:p>
    <w:p>
      <w:r>
        <w:t>Selon l' art. 117 CP ,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rPr>
          <w:b/>
        </w:rPr>
        <w:t>E. 2.2.1</w:t>
      </w:r>
    </w:p>
    <w:p>
      <w:r>
        <w:t>Le tribunal de première instance a reconnu l'intimé coupable d'homicide par négligence. Il a considéré qu'il n'était pas exclu que l'utilisation d'une machine conforme à la norme SN EN 13155+A2 aurait permis - selon le cours ordinaire des choses et l'expérience de la vie - d'éviter la survenance de l'accident qui s'est produit. Il a ainsi considéré qu'en utilisant un palonnier à ventouses à un circuit sans second dispositif de levage de retenue à action positive (sangles), les normes de sécurité avaient été violées par l'intimé, ce qui constituait la violation d'une règle de prudence. Selon le tribunal de première instance, la violation était fautive parce que rien ne justifiait de s'écarter des dispositions normatives contraignantes, pas même des contraintes pratiques et de rapidité qui peuvent avoir cours sur un chantier.</w:t>
      </w:r>
    </w:p>
    <w:p>
      <w:r>
        <w:t>Pour le tribunal de première instance, la victime avait commis une erreur de manipulation du levier posé sur la valve flottante, en passant le levier sur la position "</w:t>
      </w:r>
    </w:p>
    <w:p>
      <w:r>
        <w:t>lösen ", alors qu'il était initialement sur la position "</w:t>
      </w:r>
    </w:p>
    <w:p>
      <w:r>
        <w:t>saugen ". Toutefois, la fausse manipulation de la vanne n'était pas de nature à rompre le lien de causalité entre l'accident et le manquement reproché à l'intimé, même si cette erreur était difficilement compréhensible de la part de la victime, spécialisée dans le maniement des systèmes de préhension de charge tel que celui utilisé sur le chantier et qui avait en outre travaillé les deux jours précédents avec l'engin. En effet, la vanne de décharge était flottante, sans permettre de repères visuels fixes, si bien que la position du levier pouvait aisément, et même par un professionnel aguerri, être confondue, ce d'autant plus que les inscriptions "</w:t>
      </w:r>
    </w:p>
    <w:p>
      <w:r>
        <w:t>saugen " et "</w:t>
      </w:r>
    </w:p>
    <w:p>
      <w:r>
        <w:t>lösen " ne figuraient pas sur le levier. Pour le tribunal de première instance, le système utilisé présentait ainsi un risque de confusion qui n'était pas imprévisible, au point de reléguer à l'arrière-plan la faute de l'intimé.</w:t>
      </w:r>
    </w:p>
    <w:p>
      <w:r>
        <w:rPr>
          <w:b/>
        </w:rPr>
        <w:t>E. 2.2.2</w:t>
      </w:r>
    </w:p>
    <w:p>
      <w:r>
        <w:t>La cour cantonale a libéré l'intimé du chef de prévention d'homicide par négligence. Elle a aussi admis que l'intimé avait violé les normes de sécurité en utilisant un palonnier à ventouses à un seul circuit, sans double valve de décharge ni sangles (jugement attaqué p. 25). Mais, elle a considéré que l'inobservation de la règle de prudence consistant à exiger la pose de sangles n'était pas en rapport de causalité naturelle et adéquate avec la survenance de l'accident. En effet, la victime avait procédé, après le retournement de la vitre, au double contrôle du fonctionnement du palonnier à ventouses et de l'adhérence du plateau de verre avant la pose des sangles, tel qu'exigé par l'expert, mais n'avait pas relevé d'irrégularité, de sorte que la vitre aurait très bien pu tomber lors de la pose des sangles. En outre, la fausse manipulation de la victime qui avait mis la vanne en position " lösen " était de nature à rompre le lien de causalité entre l'accident et les différents manquements reprochés à l'intimé.</w:t>
      </w:r>
    </w:p>
    <w:p>
      <w:r>
        <w:rPr>
          <w:b/>
        </w:rPr>
        <w:t>E. 3</w:t>
      </w:r>
    </w:p>
    <w:p>
      <w:r>
        <w:t>Pour qu'il y ait homicide par négligence, il faut tout d'abord, d'une part, que l'auteur ait violé les règles de prudence que les circonstances lui imposaient pour ne pas excéder les limites du risque admissible et, d'autre part, qu'il n'ait pas déployé l'attention et les efforts que l'on pouvait attendre de lui pour se conformer à son devoir ( ATF 135 IV 56 consid. 2.1 p. 64).</w:t>
      </w:r>
    </w:p>
    <w:p>
      <w:r>
        <w:rPr>
          <w:b/>
        </w:rPr>
        <w:t>E. 3.1</w:t>
      </w:r>
    </w:p>
    <w:p>
      <w:r>
        <w:t>La norme européenne SN EN 13 155 pose les règles de prudence à observer lors de l'utilisation des palonniers à ventouses afin de réduire le nombre d'accidents. La mesure la plus importante revendique la " redondance ": lorsque l'aspiration diminue ou disparaît totalement, un dispositif de sécurité antichute supplémentaire doit s'actionner. Il s'agit généralement d'un second circuit sous vide, également capable de supporter la charge nominale avec un double système de sécurité. Selon la norme, avec une installation mono-circuit, la charge devrait en plus être assurée mécaniquement, par exemple par des sangles.</w:t>
      </w:r>
    </w:p>
    <w:p>
      <w:r>
        <w:rPr>
          <w:b/>
        </w:rPr>
        <w:t>E. 3.2</w:t>
      </w:r>
    </w:p>
    <w:p>
      <w:r>
        <w:t>En l'espèce, il est admis - et non contesté - que l'intimé a utilisé un palonnier à ventouses à un seul circuit sans double valve de décharge et qu'il n'a pas accroché de sangles, de sorte qu'il a violé son devoir de prudence (cf. jugement attaqué p. 25 consid. 3.4.1). Il s'agit de déterminer si la violation de ce devoir de prudence (utilisation d'une installation mono-circuit sans pose de sangles) est en rapport de causalité avec la survenance de l'accident.</w:t>
      </w:r>
    </w:p>
    <w:p>
      <w:r>
        <w:rPr>
          <w:b/>
        </w:rPr>
        <w:t>E. 4.1</w:t>
      </w:r>
    </w:p>
    <w:p>
      <w:r>
        <w:t>Un comportement est la cause naturelle d'un résultat s'il en constitue l'une des conditions sine qua non ( ATF 133 IV 158 consid. 6.1 p. 167; 122 IV 17 consid. 2c/aa p. 23). La constatation du rapport de causalité naturelle relève du fait, ce qui la soustrait au contrôle du Tribunal fédéral. Il y a toutefois violation du droit fédéral si l'autorité cantonale méconnaît le concept même de la causalité naturelle ( ATF 122 IV 17 consid. c/aa p. 23).</w:t>
      </w:r>
    </w:p>
    <w:p>
      <w:r>
        <w:t>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 ATF 133 IV 158 consid. 6.1 p. 168; 131 IV 145 consid. 5.1 p. 147). Il s'agit-là d'une question de droit que le Tribunal fédéral revoit librement.</w:t>
      </w:r>
    </w:p>
    <w:p>
      <w:r>
        <w:rPr>
          <w:b/>
        </w:rPr>
        <w:t>E. 4.2.1</w:t>
      </w:r>
    </w:p>
    <w:p>
      <w:r>
        <w:t>La cour cantonale a considéré que l'inobservation de la règle de prudence consistant à exiger la pose de sangles après le retournement de la vitre et avant sa mise en place n'était pas en rapport de causalité naturelle et adéquate avec la survenance de l'accident. D'une part, elle a expliqué que la victime avait effectué le double contrôle préconisé par l'expert et qu'elle n'avait détecté aucune défectuosité; dès lors, la vitre aurait très bien pu tomber lors de la pose des sangles et écraser la victime à ce moment. D'autre part, la cour cantonale a relevé que l'erreur de manipulation de la victime qui avait mis la vanne en position "</w:t>
      </w:r>
    </w:p>
    <w:p>
      <w:r>
        <w:t>lösen " était propre à rompre le lien de causalité. En effet, selon la cour cantonale, cette erreur de manipulation était totalement imprévisible et s'imposait comme la cause la plus probable et la plus immédiate de l'événement considéré, reléguant à l'arrière plan tous les autres facteurs qui auraient pu contribuer à l'amener, à savoir notamment les manquements de l'intimé.</w:t>
      </w:r>
    </w:p>
    <w:p>
      <w:r>
        <w:rPr>
          <w:b/>
        </w:rPr>
        <w:t>E. 4.2.2</w:t>
      </w:r>
    </w:p>
    <w:p>
      <w:r>
        <w:t>La recourante reproche à la cour cantonale d'avoir versé dans l'arbitraire en retenant que la victime avait procédé au double contrôle du fonctionnement du palonnier à ventouses et à l'adhérence du plateau de verre. Selon la recourante, si ce contrôle avait été effectué, l'accident ne se serait très certainement pas produit, car la victime aurait alors, avant la pose des sangles, constaté que la vitre perdait de l'adhérence.</w:t>
      </w:r>
    </w:p>
    <w:p>
      <w:r>
        <w:t>Pour sa part, l'intimé soutient que ses collaborateurs procédaient systématiquement à des tests pour chaque verre d'une certaine importance, en faisant une trace sur la vitre (à l'aide d'un ruban autocollant ou d'un feutre) et en regardant si le verre descendait lorsqu'ils le levaient un petit peu. Il explique que ce contrôle aurait lieu à titre initial et non après la phase de retournement de la charge en position verticale.</w:t>
      </w:r>
    </w:p>
    <w:p>
      <w:r>
        <w:rPr>
          <w:b/>
        </w:rPr>
        <w:t>E. 4.3.1</w:t>
      </w:r>
    </w:p>
    <w:p>
      <w:r>
        <w:t>Selon l'expert, l'utilisation d'un palonnier à deux circuits avec double vanne de décharge était plus appropriée pour le chantier en question. En effet, le positionnement et l'enlèvement des sangles présentaient toujours un risque, étant donné que des personnes se trouvaient alors aux abords de la charge. Afin d'éviter le plus possible de mettre en danger des personnes lors des phases de retournement et d'installation de la vitre, l'expert a préconisé un contrôle du fonctionnement du palonnier à ventouses et de l'adhérence du plateau de verre avant la pose des sangles, conformément aux instructions contenues dans le module d'apprentissage (jugement attaqué, p. 25 s.; complément II du rapport d'expertise, p. 8 s.).</w:t>
      </w:r>
    </w:p>
    <w:p>
      <w:r>
        <w:t>A cet égard, les instructions dans le " Module d'apprentissage Palonniers à ventouses " de la SUVA prévoient ce qui suit:</w:t>
      </w:r>
    </w:p>
    <w:p>
      <w:r>
        <w:t>1. Contrôle fonctionnel (selon la notice d'instructions)</w:t>
      </w:r>
    </w:p>
    <w:p>
      <w:r>
        <w:t>.a. mise en marche de la pompe (les soupapes doivent être fermées)</w:t>
      </w:r>
    </w:p>
    <w:p>
      <w:r>
        <w:t>.b. création du vide</w:t>
      </w:r>
    </w:p>
    <w:p>
      <w:r>
        <w:t>.c. arrêt de la pompe</w:t>
      </w:r>
    </w:p>
    <w:p>
      <w:r>
        <w:t>.d. vérification du manomètre: vide constant ? En cas de réduction du vide: chercher les fuites</w:t>
      </w:r>
    </w:p>
    <w:p>
      <w:r>
        <w:t>2. Utilisation du palonnier</w:t>
      </w:r>
    </w:p>
    <w:p>
      <w:r>
        <w:t>.a. pose de chaque ventouse</w:t>
      </w:r>
    </w:p>
    <w:p>
      <w:r>
        <w:t>.b. vérification de l'adhérence</w:t>
      </w:r>
    </w:p>
    <w:p>
      <w:r>
        <w:t>Il ressort du module 2b que la vérification de l'adhérence des ventouses se fait par le tirage d'un trait avec un feutre sous les ventouses, celui-ci permettant de constater, à tout moment, un glissement des vitres.</w:t>
      </w:r>
    </w:p>
    <w:p>
      <w:r>
        <w:rPr>
          <w:b/>
        </w:rPr>
        <w:t>E. 4.3.2</w:t>
      </w:r>
    </w:p>
    <w:p>
      <w:r>
        <w:t>Selon l'état de fait cantonal, la victime a vérifié que le levier était en bonne position et il a cru à tort que tel était le cas (et dit: " c'est en ordre ") (jugement attaqué p. 26). Or, contrairement à ce que soutient la cour cantonale, ce contrôle ne correspond pas au double contrôle exigé par l'expert et le " Module d'apprentissage Palonniers à ventouses " de la SUVA. Il ne ressort pas de l'état de fait cantonal que la victime a contrôlé le fonctionnement du palonnier à ventouses et l'adhérence de la vitre. En particulier, il n'est pas établi qu'elle a tracé sur la vitre un trait (à l'aide d'un ruban autocollant ou d'un feutre) pour vérifier que celle-ci ne glisse pas. Partant, en retenant sur la base de l'état de fait cantonal que la victime avait effectué le contrôle préconisé par l'expert, la cour cantonale a versé dans l'arbitraire. Toutefois, pour que le grief d'arbitraire soit admis, encore faut-il que la correction du vice soit susceptible d'influer sur le sort de la cause ( art. 97 al. 1 LTF ).</w:t>
      </w:r>
    </w:p>
    <w:p>
      <w:r>
        <w:t>Si le double contrôle préconisé par l'expert avait été effectué, l'accident ne se serait certainement pas produit, car la victime aurait alors, avant la pose des sangles, constaté, d'une part, que le palonnier à ventouses ne fonctionnait plus correctement, et, d'autre part, que la vitre perdait de l'adhérence puisque le trait effectué avec le feutre sous les ventouses n'était plus au bon endroit. Dès lors, on aboutirait vraisemblablement à la conclusion que la violation du devoir de prudence consistant à utiliser un palonnier à ventouses à un seul circuit, sans double valve de décharge ni sangles serait dans un rapport de causalité adéquate avec la survenance de l'accident. Par conséquent, l'admission du double contrôle préconisé par l'expert, en contradiction avec l'état de fait, influe sur le sort de la cause. Le grief tiré de l' art. 97 LTF doit donc être admis, le jugement attaqué annulé et la cause renvoyée à la cour cantonale pour nouveau jugement sur ce point.</w:t>
      </w:r>
    </w:p>
    <w:p>
      <w:r>
        <w:rPr>
          <w:b/>
        </w:rPr>
        <w:t>E. 4.4</w:t>
      </w:r>
    </w:p>
    <w:p>
      <w:r>
        <w:t>La recourante fait grief à la cour cantonale d'avoir retenu, de manière manifestement inexacte, qu'une machine à deux vannes de libération de charge n'aurait pas permis d'éviter la survenance de l'accident.</w:t>
      </w:r>
    </w:p>
    <w:p>
      <w:r>
        <w:t>L'expert a déclaré qu'il aurait fallu utiliser un palonnier à deux circuits avec double vanne de décharge. La cour cantonale a toutefois exposé que, même dans ce cas, l'accident aurait eu lieu, car " rien n'indique que [la victime] n'aurait pas veillé à ce que la position des leviers soit la même sur les deux vannes, même dans l'hypothèse où cette position aurait été fausse " (jugement attaqué p. 27). Comme mentionné sous le considérant 5.3.5 ci-dessous, le jugement attaqué doit être annulé, à charge notamment pour la cour cantonale de réexaminer si l'erreur de manipulation de la victime était prévisible et était donc propre à rompre le lien de causalité. Dans le cadre de ce nouvel examen, elle devra également déterminer si la victime pouvait se tromper deux fois si elle avait utilisé une machine à deux vannes de libération de charge.</w:t>
      </w:r>
    </w:p>
    <w:p>
      <w:r>
        <w:rPr>
          <w:b/>
        </w:rPr>
        <w:t>E. 5</w:t>
      </w:r>
    </w:p>
    <w:p>
      <w:r>
        <w:t>La recourante reproche également à la cour cantonale d'avoir retenu à tort que, dans tous les cas, il y aurait eu rupture du lien de causalité.</w:t>
      </w:r>
    </w:p>
    <w:p>
      <w:r>
        <w:rPr>
          <w:b/>
        </w:rPr>
        <w:t>E. 5.1</w:t>
      </w:r>
    </w:p>
    <w:p>
      <w:r>
        <w:t>Il y a rupture du lien de causalité,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Cependant,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133 IV 158 consid. 6.1 p. 168; 131 IV 45 consid. 5.2 p. 148).</w:t>
      </w:r>
    </w:p>
    <w:p>
      <w:r>
        <w:rPr>
          <w:b/>
        </w:rPr>
        <w:t>E. 5.2.1</w:t>
      </w:r>
    </w:p>
    <w:p>
      <w:r>
        <w:t>La cour cantonale a considéré que la mention expresse et écrite des positions "</w:t>
      </w:r>
    </w:p>
    <w:p>
      <w:r>
        <w:t>saugen " et "</w:t>
      </w:r>
    </w:p>
    <w:p>
      <w:r>
        <w:t>lösen " n'était pas obligatoire et qu'aucune prescription de nature obligatoire ne prévoyait l'usage d'une valve fixe et, partant, l'interdiction d'utiliser une valve flottante. Pour la cour cantonale, l'erreur de manipulation de la victime devait donc être qualifiée de circonstance tout à fait exceptionnelle ou si extraordinaire que l'on ne pouvait pas s'y attendre. Elle s'imposait comme la cause la plus probable et la plus immédiate de l'événement considéré, reléguant à l'arrière-plan tous les autres facteurs qui avaient pu contribuer à l'amener, à savoir notamment le comportement de l'intimé.</w:t>
      </w:r>
    </w:p>
    <w:p>
      <w:r>
        <w:rPr>
          <w:b/>
        </w:rPr>
        <w:t>E. 5.2.2</w:t>
      </w:r>
    </w:p>
    <w:p>
      <w:r>
        <w:t>La recourante reproche à la cour cantonale d'avoir versé dans l'arbitraire en retenant que ni les prescriptions légales ni les règles de prudence auraient exigé l'utilisation d'une valve fixe et l'inscription des mentions "</w:t>
      </w:r>
    </w:p>
    <w:p>
      <w:r>
        <w:t>saugen " et "</w:t>
      </w:r>
    </w:p>
    <w:p>
      <w:r>
        <w:t>lösen " sur le levier. A l'appui de son grief, elle se réfère à la Directive européenne relative aux machines, qui exige que les organes de commande soient clairement identifiables et placés pour permettre une manoeuvre sûre, sans hésitation ni perte de temps et sans équivoque. Elle cite également différents témoins, qui ont déclaré que le défaut de marquage et la valve flottante étaient propres à entraîner un risque de confusion, témoignages que la cour cantonale aurait arbitrairement écartés.</w:t>
      </w:r>
    </w:p>
    <w:p>
      <w:r>
        <w:t>Pour sa part, l'intimé fait valoir que le module d'apprentissage de la SUVA ne présente aucune inscription pour les deux positions du levier actionnant la vanne de décharge; il ajoute qu'il en va de même pour la prétendue exigence que ce levier soit fixé sur le cadre du palonnier.</w:t>
      </w:r>
    </w:p>
    <w:p>
      <w:r>
        <w:rPr>
          <w:b/>
        </w:rPr>
        <w:t>E. 5.3.1</w:t>
      </w:r>
    </w:p>
    <w:p>
      <w:r>
        <w:t>Les règles de l'art sont considérées comme reconnues lorsque leur exactitude théorique a été attestée par la science, qu'elles sont établies et que, d'après la grande majorité des spécialistes qui les appliquent, elles ont fait leurs preuves dans la pratique (FRANÇOIS CHAIX, in Commentaire romand, Code des obligations, 2e éd., 2012, n° 4 ad art. 364 CO ; GAUCH/CARRON, Le contrat d'entreprise, 1999, n° 846). Dire s'il existe dans un cas particulier une règle professionnelle, un usage ou une règle de l'art et en définir le contenu relèvent du fait ( ATF 133 III 121 consid. 3.1 p. 124 in fine; 113 II 25 consid. la p. 27). L'existence de telles règles ou usages peut ainsi être établie par tout moyen de preuve, en particulier sur la base d'une expertise (CHAIX, op. cit., n° 4 ad art. 364 CO ; cf. arrêt 4A_428/2007 du 2 décembre 2008, consid. 3.1).</w:t>
      </w:r>
    </w:p>
    <w:p>
      <w:r>
        <w:rPr>
          <w:b/>
        </w:rPr>
        <w:t>E. 5.3.2</w:t>
      </w:r>
    </w:p>
    <w:p>
      <w:r>
        <w:t>En l'espèce, le témoin V.________, ingénieur sécurité SUVA a déclaré: "</w:t>
      </w:r>
    </w:p>
    <w:p>
      <w:r>
        <w:t>Pour éviter toute forme de confusion, il est absolument obligatoire que soient mentionnées les indications " dépression " et " libération de charge " dans la langue nationale des utilisateurs. Le marquage de commande est une systématique sur toute installation technique ". ... "</w:t>
      </w:r>
    </w:p>
    <w:p>
      <w:r>
        <w:t>Cette exigence est également inscrite dans la</w:t>
      </w:r>
    </w:p>
    <w:p>
      <w:r>
        <w:t>directive " machine " européenne</w:t>
      </w:r>
    </w:p>
    <w:p>
      <w:r>
        <w:t>, qui est également valable en Suisse par l'intermédiaire de la LSPro (Loi sur la sécurité des produits), anciennement LSIT (loi sur la sécurité des installations techniques) .</w:t>
      </w:r>
    </w:p>
    <w:p>
      <w:r>
        <w:t>C'est une certitude " (jugement du tribunal de police du 21 décembre 2015, p. 8 et 9).</w:t>
      </w:r>
    </w:p>
    <w:p>
      <w:r>
        <w:rPr>
          <w:b/>
        </w:rPr>
        <w:t>E. 5.3.3</w:t>
      </w:r>
    </w:p>
    <w:p>
      <w:r>
        <w:t>Selon l'art. 4 de la loi fédérale sur la sécurité d'installations et d'appareils techniques (aLSIT), applicable au moment de l'accident, le Conseil fédéral devait définir les exigences essentielles de sécurité et de santé, en tenant compte du droit international correspondant. Avec l'ordonnance sur la sécurité d'installations et d'appareils techniques (aOSIT), applicable au moment de l'accident, il a transposé en droit suisse la directive CE n° 98/37 du 22 juin 1998 concernant le rapprochement des législations des Etats membres relatives aux machines (directive relative aux machines (art. 2 al. 1 aOSIT), prévoyant que "</w:t>
      </w:r>
    </w:p>
    <w:p>
      <w:r>
        <w:t>les exigences essentielles de sécurité et de santé visées à l'annexe I de la directive relative aux machines s'appliquent aux machines " (art. 3 al. 1 aOSI).</w:t>
      </w:r>
    </w:p>
    <w:p>
      <w:r>
        <w:t>L'art. 1.2.2 de l'annexe I de ladite directive qui concerne les organes de commande précise ce qui suit:</w:t>
      </w:r>
    </w:p>
    <w:p>
      <w:r>
        <w:t>" Organes de commande</w:t>
      </w:r>
    </w:p>
    <w:p>
      <w:r>
        <w:t>Les organes de commande doivent être:</w:t>
      </w:r>
    </w:p>
    <w:p>
      <w:r>
        <w:t>- clairement visibles et identifiables et, le cas échéant, faire l'objet d'un marquage approprié,</w:t>
      </w:r>
    </w:p>
    <w:p>
      <w:r>
        <w:t>- placés pour permettre une manoeuvre sûre, sans hésitation ni perte de temps et sans équivoque,</w:t>
      </w:r>
    </w:p>
    <w:p>
      <w:r>
        <w:t>- conçus de façon que le mouvement de l'organe de commande soit cohérent avec l'effet commandé,</w:t>
      </w:r>
    </w:p>
    <w:p>
      <w:r>
        <w:t>- disposés en dehors des zones dangereuses sauf, si nécessaire, pour certains organes, tel qu'un arrêt d'urgence, une console d'apprentissage pour les robots,</w:t>
      </w:r>
    </w:p>
    <w:p>
      <w:r>
        <w:t>- situés de façon que leur manoeuvre ne puisse engendrer de risques supplémentaires,</w:t>
      </w:r>
    </w:p>
    <w:p>
      <w:r>
        <w:t>- conçus ou protégés de façon que l'effet voulu, s'il peut entraîner un risque, ne puisse se produire sans une manoeuvre intentionnelle,</w:t>
      </w:r>
    </w:p>
    <w:p>
      <w:r>
        <w:t>- fabriqués de façon à résister aux efforts prévisibles. Une attention particulière sera apportée aux dispositifs d'arrêt d'urgence qui risquent d'être soumis à des efforts importants. "</w:t>
      </w:r>
    </w:p>
    <w:p>
      <w:r>
        <w:rPr>
          <w:b/>
        </w:rPr>
        <w:t>E. 5.3.4</w:t>
      </w:r>
    </w:p>
    <w:p>
      <w:r>
        <w:t>Pour le surplus, différents témoins ont reconnu que le défaut d'inscription de type "</w:t>
      </w:r>
    </w:p>
    <w:p>
      <w:r>
        <w:t>saugen " et "</w:t>
      </w:r>
    </w:p>
    <w:p>
      <w:r>
        <w:t>lösen " créait un risque énorme de confusion lors de la manipulation de la machine.</w:t>
      </w:r>
    </w:p>
    <w:p>
      <w:r>
        <w:t>L'expert T.________ a expliqué que l'erreur de manipulation de la vanne de décharge par la victime a "</w:t>
      </w:r>
    </w:p>
    <w:p>
      <w:r>
        <w:t>été favorisée par les inscriptions manquantes (lösen et saugen) sur la vanne de décharge ainsi que la commande non fixée de la vanne de décharge " (jugement attaqué, consid. 4.2. p. 17).</w:t>
      </w:r>
    </w:p>
    <w:p>
      <w:r>
        <w:t>S.________, ouvrier de l'intimé, n'a pas pu dire sur quelle position se trouvait la vanne telle que représentée sur la photo qui lui était présentée aux débats de première instance, dans la mesure où il ne distinguait pas le haut du bas de la manette (jugement du Tribunal de police du 1er avril 2011, p. 20; jugement du Tribunal cantonal du 5 septembre 2011, p. 21).</w:t>
      </w:r>
    </w:p>
    <w:p>
      <w:r>
        <w:t>Interpellé par la Présidente sur la position exacte du levier sur la photo, l'intimé n'a pas pu dire si le levier était en position "</w:t>
      </w:r>
    </w:p>
    <w:p>
      <w:r>
        <w:t>saugen " ou "</w:t>
      </w:r>
    </w:p>
    <w:p>
      <w:r>
        <w:t>lösen ", car cela dépendait d'où venaient les tuyaux et notamment de leur rattachement à la citerne. Si le levier allait en direction du tuyau qui était rattaché à la citerne, cela équivalait à la position "</w:t>
      </w:r>
    </w:p>
    <w:p>
      <w:r>
        <w:t>saugen ". Si le levier allait en direction des tuyaux rattachés aux ventouses, cela équivalait à la position "</w:t>
      </w:r>
    </w:p>
    <w:p>
      <w:r>
        <w:t>lösen " (jugement du Tribunal de police du 21 décembre 2015, p. 17).</w:t>
      </w:r>
    </w:p>
    <w:p>
      <w:r>
        <w:rPr>
          <w:b/>
        </w:rPr>
        <w:t>E. 5.3.5</w:t>
      </w:r>
    </w:p>
    <w:p>
      <w:r>
        <w:t>Il ressort de l'ensemble de ces éléments que les prescriptions légales et les règles de prudence exigent que les organes de commande fassent l'objet d'un marquage approprié et que, dans le cas d'espèce, le défaut de marquage et l'utilisation d'une valve flottante créaient un risque de confusion. Toutefois, sans aucune référence à ces témoignages, la cour cantonale a retenu que ni les prescriptions légales ni les règles de prudence n'exigeaient l'utilisation de vannes fixes et l'inscription des mentions "</w:t>
      </w:r>
    </w:p>
    <w:p>
      <w:r>
        <w:t>saugen " et "</w:t>
      </w:r>
    </w:p>
    <w:p>
      <w:r>
        <w:t>lösen " sur le levier. En écartant sans aucune motivation les témoignages de l'ingénieur sécurité de la SUVA qui se référait à la Directive européenne sur les machines, du collègue de travail de la victime et de l'intimé, elle a versé dans l'arbitraire. Ces éléments de fait sont déterminants pour juger de la rupture du lien de causalité et sont donc propres à influer sur l'issue du litige ( art. 97 al. 1 LTF ). A cet égard, les considérations de la cour de céans dans son arrêt du 12 juillet 2012, rendu dans cette même cause (6B_715/2011), ne sont pas déterminantes, dans la mesure où l'on ignorait alors que la machine litigieuse avait été modifiée, que la vanne avait été laissée " flottante " et qu'elle n'était par ailleurs pas pourvue des indications " dépression " (saugen) et " libération de charge " (lösen). Le grief d'arbitraire doit donc être admis, le jugement attaqué doit être annulé sur ce point et la cause renvoyée à la cour cantonale pour qu'elle examine à nouveau le caractère prévisible et extraordinaire de l'erreur de manipulation de la victime.</w:t>
      </w:r>
    </w:p>
    <w:p>
      <w:r>
        <w:rPr>
          <w:b/>
        </w:rPr>
        <w:t>E. 6</w:t>
      </w:r>
    </w:p>
    <w:p>
      <w:r>
        <w:t>Le recours doit être admis, le jugement attaqué annulé et la cause renvoyée à l'autorité cantonale pour nouveau jugement dans le sens des considérants.</w:t>
      </w:r>
    </w:p>
    <w:p>
      <w:r>
        <w:t>Dans le cas d'espèce, il peut être statué sans frais. La recourante qui obtient gain de cause peut prétendre à une indemnité de dépens à la charge de l'intimé et du canton de Vaud. La demande d'assistance judiciaire de l'intimé doit être admise au vu de sa situation financière et une indemnité appropriée doit être accordée à son conseil d'office, à charge de la caisse du Tribunal fédéral ( art. 64 al. 2 LTF ). L'intimé est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