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1008/2009 vom 23. April 2010</w:t>
      </w:r>
    </w:p>
    <w:p>
      <w:r>
        <w:t>Bundesgericht, 2010-04-23, FR</w:t>
      </w:r>
    </w:p>
    <w:p>
      <w:r>
        <w:rPr>
          <w:b/>
        </w:rPr>
        <w:t xml:space="preserve">Quelle: </w:t>
      </w:r>
      <w:r>
        <w:t>https://mcp.opencaselaw.ch/entscheid/bger_6B_1008_2009</w:t>
      </w:r>
    </w:p>
    <w:p>
      <w:r>
        <w:t>FR: TF 6B 1008/2009 du 23 avril 2010</w:t>
      </w:r>
    </w:p>
    <w:p>
      <w:r>
        <w:t>IT: TF 6B 1008/2009 del 23 aprile 2010</w:t>
      </w:r>
    </w:p>
    <w:p>
      <w:pPr>
        <w:pStyle w:val="Heading2"/>
      </w:pPr>
      <w:r>
        <w:t>Regeste</w:t>
      </w:r>
    </w:p>
    <w:p>
      <w:r>
        <w:t>Frais | Droit pénal (en général)</w:t>
      </w:r>
    </w:p>
    <w:p>
      <w:pPr>
        <w:pStyle w:val="Heading2"/>
      </w:pPr>
      <w:r>
        <w:t>Erwägungen</w:t>
      </w:r>
    </w:p>
    <w:p>
      <w:r>
        <w:rPr>
          <w:b/>
        </w:rPr>
        <w:t>E. 1</w:t>
      </w:r>
    </w:p>
    <w:p>
      <w:r>
        <w:t>Le recourant soutient que sa condamnation au paiement d'une partie des frais de première instance repose sur un état de fait établi de manière manifestement inexacte et en violation arbitraire de l' art. 447 al. 2 CPP /VD.</w:t>
      </w:r>
    </w:p>
    <w:p>
      <w:r>
        <w:rPr>
          <w:b/>
        </w:rPr>
        <w:t>E. 1.1</w:t>
      </w:r>
    </w:p>
    <w:p>
      <w:r>
        <w:t>Le grief de constatation manifestement inexacte des faits, au sens de l' art. 97 al. 1 LTF , revient à se plaindre de ce que les faits ont été établis de manière arbitraire. Or, le recourant ne démontre nullement, ni même ne prétend, que les faits sur lesquels repose le prononcé litigieux auraient été retenus ensuite d'une appréciation arbitraire des preuves. Ce qu'il reproche à la cour cantonale, c'est de s'être fondée sur des faits qui ne ressortiraient pas du jugement de première instance, alors que, le Ministère public ayant recouru exclusivement en réforme, elle était, en vertu de l' art. 447 al. 2 CPP /VD, liée par les faits constatés dans ce jugement. Le moyen pris d'une constatation manifestement inexacte des faits se confond donc avec celui pris d'une violation arbitraire de cette disposition.</w:t>
      </w:r>
    </w:p>
    <w:p>
      <w:r>
        <w:rPr>
          <w:b/>
        </w:rPr>
        <w:t>E. 1.2</w:t>
      </w:r>
    </w:p>
    <w:p>
      <w:r>
        <w:t>La cour cantonale a justifié son prononcé, sur le point litigieux, en observant que, à partir du moment où D.________ s'est rendu compte des graves dysfonctionnements du début de l'année 1997, de l'étude confiée à celui-ci et A.________, puis du mandat donné à T.________ pour se pencher sur la problématique des provisions, le recourant a été tenu au courant de tout ce qui s'était passé. Il a assisté à différentes séances et était dès lors conscient qu'il existait un problème de provisions. Or, il a encouragé l'adoption de la nouvelle méthode de provisionnement ainsi que le fait de retenir le montant du risque technique T.________, de 10 % inférieur à celui usuellement retenu par la banque. Il avait ainsi largement contribué à l'information tronquée donnée aux autres organes et aux actionnaires. Alors qu'il était au courant des modalités de fixation des provisions, il avait gardé un silence complet, y compris sur la non-mention de l'abattement de 10 % au cours de l'exercice 1997. Ce faisant, il avait adopté un comportement civilement répréhensible, justifiant de mettre à sa charge une partie des frais de la procédure.</w:t>
      </w:r>
    </w:p>
    <w:p>
      <w:r>
        <w:rPr>
          <w:b/>
        </w:rPr>
        <w:t>E. 1.3</w:t>
      </w:r>
    </w:p>
    <w:p>
      <w:r>
        <w:t>Le recourant relève avec raison que, contrairement à ce qui est indiqué à la page 7 in fine de l'arrêt attaqué, il n'a pas assumé le mandat de révision bancaire et statutaire de la BCV jusqu'à la fin de l'exercice 2001. Il s'agit manifestement d'une erreur, comme cela ressort des pages 4 et 16 du jugement de première instance, où il est constaté que le recourant n'a assumé ce mandat que jusqu'à la mi-juin 1999, date à laquelle il a quitté T.________ pour occuper un autre emploi. Quoiqu'il en soit, l'objection est dénuée de pertinence, dès lors que le prononcé litigieux ne tire aucun argument d'un comportement du recourant ultérieur à la mi-juin 1999.</w:t>
      </w:r>
    </w:p>
    <w:p>
      <w:r>
        <w:rPr>
          <w:b/>
        </w:rPr>
        <w:t>E. 1.4</w:t>
      </w:r>
    </w:p>
    <w:p>
      <w:r>
        <w:t>Durant les derniers mois de l'année 1996, les problèmes de provisionnement qui étaient apparus ont fait l'objet de nombreuses discussions au sein des organes dirigeants de la BCV. Le 20 janvier 1997, W.________ a été contacté personnellement par X.________ à ce sujet et, depuis lors, il a été régulièrement associé au processus visant à résoudre les problèmes de provisionnement. Il a notamment participé à la séance de bouclement du 21 janvier 1997, qui a porté sur le manque de provisions de 91'000'000 fr., les correctifs de valeurs et provisions et la diminution consécutive du taux de couverture technique. Il a également participé à la séance du 4 février 1997, portant sur la différence de 91'000'000 fr. entre le montant de provisions figurant dans la deuxième version de l'état des risques et celui arrêté lors du bouclement des comptes et, au terme de cette entrevue, il a donné son accord à la révision de certains crédits immobiliers et à ce que leur soit appliqué un taux de capitalisation plus bas sur les revenus locatifs. Il a donné son aval à l'état des risques établi en application de la variante 4.2, qui a été adopté le 11 mars 1997 par la Direction générale. Il est difficilement concevable que, durant toute cette période, le recourant n'ait jamais été informé par W.________ des problèmes de provisionnement rencontrés par la banque, du contenu des discussions auxquelles ce dernier a participé et, partant, qu'il n'ait rien su de la situation. Dans tous les cas, le recourant a assisté, avec W.________, à la séance du 20 mars 1997, lors de laquelle le Conseil d'administration de la banque a examiné les comptes de l'exercice 1996 et pris connaissance du rapport de la Division commerciale dans lequel figurait l'état des risques adopté le 11 mars 1997. Le 16 mai 1997, il s'est vu confier le mandat de procéder à une analyse détaillée visant à vérifier la réalité des hypothèses avancées par D.________ et A.________, qui, au terme de leurs recherches, avaient estimé qu'il manquait environ 780'000'000 fr. de provisions au 31 décembre 1996. En particulier, il avait mandat d'étudier la question de l'abattement linéaire de 216'000'000 fr. portant sur les crédits couverts par un gage immobilier. Le 6 juin 1997, W.________ lui a soumis la note interne qu'il avait rédigée avec M.________, dont ressortait un besoin de provisions complémentaires de l'ordre de 154'000'000 fr. par rapport au risque technique finalement retenu par la banque. Le recourant a ensuite participé à la séance de coordination du 9 juin 1997, à l'issue de laquelle l'opinion défendue par les représentants de T.________ a prévalu sur les travaux de D.________ et A.________ et il n'a manifestement pas ignoré le contenu du courrier du 11 juin 1997 adressé à X.________. Il a également participé à maintes autres séances depuis lors, notamment à la rencontre du 7 novembre 1997 avec la CFB, à la séance du 21 janvier 1998 lors de laquelle la Direction générale de la BCV a procédé au bouclement des comptes de l'exercice 1997 ainsi qu'à la séance qui s'est tenue le 12 mai 1998 en vue de poser les principes quant au traitement du risque technique et d'en voir l'incidence sur les bouclements futurs.</w:t>
      </w:r>
    </w:p>
    <w:p>
      <w:r>
        <w:rPr>
          <w:b/>
        </w:rPr>
        <w:t>E. 1.5</w:t>
      </w:r>
    </w:p>
    <w:p>
      <w:r>
        <w:t>Les faits ainsi constatés dans l'arrêt attaqué ont tous été repris du jugement de première instance. La cour cantonale ne s'est donc pas écartée de l'état de fait de ce jugement en retenant, comme il en résulte, que, à partir du moment où D.________ s'est rendu compte des graves dysfonctionnements du début de l'année 1997, de l'étude confiée à celui-ci et A.________ et du mandat donné à T.________ de se pencher sur la problématique des provisions, le recourant a été tenu au courant de tout ce qui s'est passé, qu'il a participé à différentes séances et qu'il était donc conscient de l'existence d'un problème de provisions. Elle ne s'en est pas plus écartée en retenant, comme cela en résulte également, que le recourant a néanmoins encouragé l'adoption de la nouvelle méthode de provisionnement ainsi que le fait de retenir le montant du risque technique T.________, de 10 % inférieur à celui usuellement retenu par la banque. Au reste, en observant que le recourant a, de la sorte, contribué à l'information tronquée donnée aux autres organes et aux actionnaires et en relevant que, bien qu'au courant des modalités de fixation des provisions, il a gardé le silence, la cour cantonale n'a fait que tirer les conséquences des faits sur lesquels elle s'est fondée. Le grief de violation arbitraire de l' art. 447 al. 2 CPP /VD est ainsi dépourvu de fondement.</w:t>
      </w:r>
    </w:p>
    <w:p>
      <w:r>
        <w:rPr>
          <w:b/>
        </w:rPr>
        <w:t>E. 2</w:t>
      </w:r>
    </w:p>
    <w:p>
      <w:r>
        <w:t>Le recourant se plaint d'une application arbitraire de l' art. 158 CPP /VD, reprochant à la cour cantonale d'avoir admis de manière insoutenable la réalisation des conditions prévues par cette disposition. Il invoque en outre une violation de la présomption d'innocence, au motif que la cour cantonale l'aurait condamné à supporter une partie des frais de première instance à raison de comportements dont elle a pourtant estimé qu'ils n'étaient pas constitutifs des infractions qui lui étaient reprochées.</w:t>
      </w:r>
    </w:p>
    <w:p>
      <w:r>
        <w:rPr>
          <w:b/>
        </w:rPr>
        <w:t>E. 2.1</w:t>
      </w:r>
    </w:p>
    <w:p>
      <w:r>
        <w:t>A teneur de l' art. 158 CPP /VD, "lorsque le prévenu est libéré des fins de la poursuite pénale, il ne peut être condamné à tout ou partie des frais que si l'équité l'exige, notamment s'il a donné lieu à l'ouverture de l'action pénale ou s'il en a compliqué l'instruction". Cette disposition confère au juge un pouvoir d'appréciation étendu, qui est toutefois limité par les garanties découlant du droit constitutionnel. Ainsi, la condamnation d'un prévenu acquitté à supporter tout ou partie des frais doit respecter la présomption d'innocence, consacrée par les art. 32 al. 1 Cst. et 6 ch. 2 CEDH, qui interdit de rendre une décision défavorable au prévenu libéré en laissant entendre que ce dernier serait néanmoins coupable des infractions qui lui étaient reprochées. Elle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168 ss). La relation de causalité est réalisée lorsque, selon le cours ordinaire des choses et l'expérience de la vie, le comportement de la personne concernée était de nature à provoquer l'ouverture de la procédure pénale et le dommage ou les frais que celle-ci a entraînés. Le juge doit se référer aux principes généraux de la responsabilité délictuelle ( ATF 116 Ia 162 consid. 2c p. 169) et fonder son prononcé sur des faits incontestés ou déjà clairement établis ( ATF 112 Ia 371 consid. 2a in fine p. 374).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 Le Tribunal fédéral examine sous l'angle de l'arbitraire l'appréciation de l'autorité cantonale selon laquelle le comportement du prévenu libéré des fins de la poursuite pénale serait répréhensible du point de vue civil, aurait provoqué la procédure pénale ou en aurait entravé le cours ( ATF 116 Ia 162 consid. 2f p. 175). Il ne s'écarte donc pas de la solution retenue du seul fait qu'elle apparaît discutable ou même critiquable; il faut qu'elle soit manifestement insoutenable, et cela non seulement dans sa motivation mais dans son résultat ( ATF 135 V 2 consid. 1.3 p. 4/5; 134 I 140 consid. 5.4 p. 148 et les arrêts cités).</w:t>
      </w:r>
    </w:p>
    <w:p>
      <w:r>
        <w:rPr>
          <w:b/>
        </w:rPr>
        <w:t>E. 2.2</w:t>
      </w:r>
    </w:p>
    <w:p>
      <w:r>
        <w:t>En instance cantonale, le recourant a été mis en cause par le Ministère public pour faux dans les titres, d'une part au motif que le rapport de révision des comptes 1996 ne mentionnait pas le changement de méthode d'évaluation intervenu ni n'émettait de réserve quant au montant des provisions et, d'autre part, au motif que le rapport de révision des comptes 1997 n'indiquait pas que la provision de 250'000'000 fr. prévue au titre de "réserve pour risques potentiels futurs sur débiteurs" était destinée à couvrir des risques de débiteurs non déterminés. La cour cantonale a écarté cette infraction en considérant que les premiers juges avaient retenu une modification d'un paramètre de provisionnement, et non un changement de méthode d'évaluation, et que cette modification n'avait pas à être mentionnée dans le rapport de révision 1996 ni même à faire l'objet d'une quelconque réserve dans ce rapport, qui n'était donc pas mensonger. Quant aux autres reproches adressés au recourant, elle les a écartés en observant que l'intitulé "réserve pour risques potentiels futurs sur débiteurs" indiquait que la provision de 250'000'000 fr. était affectée à la garantie de débiteurs "douteux", ce qui ne signifiait pas "indéterminés", de sorte que les rapports de révision n'étaient pas non plus mensongers sur ce point. Le raisonnement par lequel la cour cantonale a justifié la condamnation du recourant à supporter une partie des frais de première instance (cf. supra, consid. 1.2) ne fait aucune allusion aux comportements dénoncés comme constitutifs de faux dans les titres. Il ne contient au demeurant rien qui donnerait à penser que le recourant se serait néanmoins rendu coupable de cette infraction. Ce dernier ne semble d'ailleurs pas réellement le soutenir.</w:t>
      </w:r>
    </w:p>
    <w:p>
      <w:r>
        <w:rPr>
          <w:b/>
        </w:rPr>
        <w:t>E. 2.3</w:t>
      </w:r>
    </w:p>
    <w:p>
      <w:r>
        <w:t>En ce qui concerne l'infraction de complicité de gestion déloyale, le Ministère public faisait valoir que le recourant, bien qu'informé du manque de provisions, avait laissé entendre qu'il n'y avait pas de mesure d'assainissement à prendre, hormis de signaler que les "autres provisions" étaient suffisantes pour couvrir celles pour débiteurs, et qu'il n'avait pas procédé à l'opération comptable qui s'imposait. Pour l'année 1996, la cour cantonale a nié la réalisation de cette infraction au motif qu'il n'était pas établi que le recourant, qui, en tant que réviseur, n'avait pas de pouvoir de gestion, cette responsabilité incombant aux organes de la banque, ait voulu que le problème de l'insuffisance de provisions soit complètement occulté par les dirigeants de la banque. Pour l'année 1997 et au-delà, elle a relevé que le recourant, bien qu'il était au courant du manque de provision, avait encouragé l'adoption de la nouvelle méthode de provisionnement ainsi que le fait de retenir le montant du risque technique T.________, de 10 % inférieur à celui usuellement retenu par la banque; en outre, le rapport de révision 1997 ne faisait aucune mention de l'insuffisance constatée au mois de juin 1997. Elle a toutefois considéré que ces manquements, parce qu'ils étaient postérieurs, et non antérieurs ou simultanés, à l'acte qui eût été imputable à l'auteur principal, n'étaient pas constitutifs de complicité de gestion déloyale, de sorte que le recourant devait être libéré de cette infraction. La cour cantonale a néanmoins estimé que les manquements relevés justifiaient de mettre partiellement les frais de première instance à la charge du recourant. C'est en effet essentiellement à raison de ces manquements qu'elle l'a condamné à en supporter une partie. A elle seule, cette similitude ne suffit cependant pas à fonder le grief de violation de la présomption d'innocence. La prévention de complicité de gestion déloyale a été abandonnée parce que la complicité constitue un acte de favorisation, qui doit nécessairement intervenir avant ou pendant l'acte principal, et que les manquements constatés lui étaient postérieurs. Cela ne change rien à l'existence de ces manquements, ni n'empêche qu'ils puissent justifier une condamnation à tout ou partie des frais, s'ils constituent un comportement fautif et contraire à une règle juridique, qui soit en relation de causalité avec les frais imputés. La question de savoir si ces conditions sont en l'occurrence réalisée ne peut être tranchée. La cour cantonale s'est en effet bornée à faire état des manquements reprochés et à affirmer qu'ils étaient constitutifs d'un comportement répréhensible, justifiant la condamnation du recourant à supporter une partie des frais. Elle n'a pas précisé à quelle règle de l'ordre juridique suisse le recourant aurait ainsi contrevenu de manière fautive, ni en quoi il aurait, de la sorte, provoqué l'ouverture de la procédure pénale et le dommage ou les frais que celle-ci a entraînés. Ainsi, le prononcé litigieux, faute d'être motivé de manière suffisante quant à la réalisation des conditions de l' art. 158 CPP /VD, ne permet pas de contrôler la conformité au droit constitutionnel de la condamnation du recourant à supporter une partie des frais de première instance. Le recours sur ce point est donc fondé.</w:t>
      </w:r>
    </w:p>
    <w:p>
      <w:r>
        <w:rPr>
          <w:b/>
        </w:rPr>
        <w:t>E. 3</w:t>
      </w:r>
    </w:p>
    <w:p>
      <w:r>
        <w:t>En conclusion, le recours doit être partiellement admis, l'arrêt attaqué annulé et la cause renvoyée à l'autorité cantonale pour nouvelle décision dans le sens des considérants. Le recourant n'obtient que partiellement gain de cause. Il devra donc supporter une partie des frais ( art. 66 al. 1 LTF ), le canton de Vaud étant dispensé d'en payer ( art. 66 al. 4 LTF ), et se verra allouer une indemnité de dépens réduite,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