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6B_1007/2020 vom 13. April 2021</w:t>
      </w:r>
    </w:p>
    <w:p>
      <w:r>
        <w:t>Bundesgericht, 2021-04-13, FR</w:t>
      </w:r>
    </w:p>
    <w:p>
      <w:r>
        <w:rPr>
          <w:b/>
        </w:rPr>
        <w:t xml:space="preserve">Quelle: </w:t>
      </w:r>
      <w:r>
        <w:t>https://mcp.opencaselaw.ch/entscheid/bger_6B_1007_2020</w:t>
      </w:r>
    </w:p>
    <w:p>
      <w:r>
        <w:t>FR: TF 6B_1007/2020 du 13 avril 2021</w:t>
      </w:r>
    </w:p>
    <w:p>
      <w:r>
        <w:t>IT: TF 6B_1007/2020 del 13 aprile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comme en l'espèce,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En l'espèce, le recourant ne se détermine nullement sur un éventuel tort moral ou dommage, ni sur leur principe, ni sur leur quotité. L'absence d'explications sur la question des prétentions civiles exclut la qualité pour recourir du recourant sur le fond de la cause.</w:t>
      </w:r>
    </w:p>
    <w:p>
      <w:r>
        <w:rPr>
          <w:b/>
        </w:rPr>
        <w:t>E. 1.3</w:t>
      </w:r>
    </w:p>
    <w:p>
      <w:r>
        <w:t>L'hypothèse visée à l'art. 81 al. 1 let. b ch. 6 LTF n'entre pas en considération dans le cas d'espèce, dès lors que le recourant ne formule aucun grief quant à son droit de porter plainte.</w:t>
      </w:r>
    </w:p>
    <w:p>
      <w:r>
        <w:rPr>
          <w:b/>
        </w:rPr>
        <w:t>E. 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2.1</w:t>
      </w:r>
    </w:p>
    <w:p>
      <w:r>
        <w:t>Le recourant dénonce une violation de son droit d'être entendu, dans la mesure où il n'a pas pu s'exprimer dans cette procédure et n'a pas été invité à fournir ses offres de preuves sur l'infraction de dénonciation calomnieuse, dont " s'est saisi d'office le ministère public ", avant que celui-ci ne rende l'ordonnance de non-entrée en matière litigieuse.</w:t>
      </w:r>
    </w:p>
    <w:p>
      <w:r>
        <w:rPr>
          <w:b/>
        </w:rPr>
        <w:t>E. 2.2</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ATF 140 I 285 consid. 6.3.1 p. 298 s. et les arrêts cités).</w:t>
      </w:r>
    </w:p>
    <w:p>
      <w:r>
        <w:rPr>
          <w:b/>
        </w:rPr>
        <w:t>E. 2.3</w:t>
      </w:r>
    </w:p>
    <w:p>
      <w:r>
        <w:t>Avant l'ouverture d'une instruction, le droit de participer à l'administration des preuves ne s'applique en principe pas ( art. 147 al. 1 CPP a contrario; ATF 143 IV 397 consid. 3.3.2 i.f. p. 403; 140 IV 172 consid. 1.2.2 p. 175), et ce y compris en cas d'investigations policières diligentées à titre de complément d'enquête requis par le ministère public en vertu de l' art. 309 al. 2 CPP (arrêt 6B_290/2020 du 17 juillet 2020 consid. 2.2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6B_1014/2020 du 10 février 2021 consid. 2.1.2; 6B_290/2020 du 17 juillet 2020 consid. 2.2 et les références citées).</w:t>
      </w:r>
    </w:p>
    <w:p>
      <w:r>
        <w:rPr>
          <w:b/>
        </w:rPr>
        <w:t>E. 2.4</w:t>
      </w:r>
    </w:p>
    <w:p>
      <w:r>
        <w:t>Sur le vu de ce qui précède, le recourant ne disposait pas d'un droit à participer à l'administration des preuves ou à se déterminer sur la volonté du ministère public de rendre une ordonnance de non-entrée en matière. Infondé, le grief tiré d'une violation du droit d'être entendu doit êtrerejeté.</w:t>
      </w:r>
    </w:p>
    <w:p>
      <w:r>
        <w:t>Pour le surplus, en tant que le recourant soutient que l'ordonnance de non-entrée en matière était " prématurée à ce stade " parce que le verdict d'acquittement ne bénéficiait pas encore de la force de chose jugée, son grief est indissociable de la cause au fond et, partant, irrecevable.</w:t>
      </w:r>
    </w:p>
    <w:p>
      <w:r>
        <w:rPr>
          <w:b/>
        </w:rPr>
        <w:t>E. 3</w:t>
      </w:r>
    </w:p>
    <w:p>
      <w:r>
        <w:t>Au vu de ce qui précède, le recours doit être rejeté dans la faible mesure de sa recevabilité. Comme il était d'emblée voué à l'échec, l'assistance judiciaire doit être refusée ( art. 64 al. 1 LTF ). Le recourant supporte les frais de la cause, qui sont fixés en tenant compte de sa situation financière, qui n'apparaît pas favorable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