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1006/2018 vom 15. Januar 2019</w:t>
      </w:r>
    </w:p>
    <w:p>
      <w:r>
        <w:t>Bundesgericht, 2019-01-15, FR</w:t>
      </w:r>
    </w:p>
    <w:p>
      <w:r>
        <w:rPr>
          <w:b/>
        </w:rPr>
        <w:t xml:space="preserve">Quelle: </w:t>
      </w:r>
      <w:r>
        <w:t>https://mcp.opencaselaw.ch/entscheid/bger_6B_1006_2018</w:t>
      </w:r>
    </w:p>
    <w:p>
      <w:r>
        <w:t>FR: TF 6B 1006/2018 du 15 janvier 2019</w:t>
      </w:r>
    </w:p>
    <w:p>
      <w:r>
        <w:t>IT: TF 6B 1006/2018 del 15 gennaio 2019</w:t>
      </w:r>
    </w:p>
    <w:p>
      <w:pPr>
        <w:pStyle w:val="Heading2"/>
      </w:pPr>
      <w:r>
        <w:t>Regeste</w:t>
      </w:r>
    </w:p>
    <w:p>
      <w:r>
        <w:t>Opposition tardive, restitution du délai d'opposition (ordonnance pénale); arbitraire | Procédure pénale</w:t>
      </w:r>
    </w:p>
    <w:p>
      <w:pPr>
        <w:pStyle w:val="Heading2"/>
      </w:pPr>
      <w:r>
        <w:t>Erwägungen</w:t>
      </w:r>
    </w:p>
    <w:p>
      <w:r>
        <w:rPr>
          <w:b/>
        </w:rPr>
        <w:t>E. 1</w:t>
      </w:r>
    </w:p>
    <w:p>
      <w:r>
        <w:t>La recourante se plaint en premier lieu d'une constatation inexacte des faits au sens de l' art. 97 LTF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1.2</w:t>
      </w:r>
    </w:p>
    <w:p>
      <w:r>
        <w:t>En l'espèce, la recourante mentionne d'abord un certain nombre de faits qui n'auraient pas été retenus par la cour cantonale et qui ont débouché sur l'ordonnance pénale du 18 avril 2018. Il en va ainsi par exemple du fait que le ministère public aurait " pris fait et cause contre [elle] " ou qu'il n'aurait pas entendu des témoins. Ce faisant, elle ne démontre pas la pertinence de ces faits - à supposer qu'ils soient établis - sur la présente cause, étant précisé que celle-ci porte sur la validité de la notification de ladite ordonnance pénale et le caractère tardif de l'opposition de l'intéressée (cf. art. 80 al. 1 LTF ), de sorte qu'ils sont irrecevables. C'est ensuite de manière appellatoire et, partant, irrecevable, que la recourante soutient n'avoir reçu aucune nouvelle de son avocate A.________ relative à la notification de l'ordonnance pénale et n'avoir dès lors pas pu prendre connaissance de celle-ci, étant précisé que ladite avocate a confirmé, par courrier du 28 juin 2018, qu'elle avait bien transmis une copie de l'ordonnance pénale du 18 avril 2018 à la recourante par courrier A en date du 19 avril 2018.</w:t>
      </w:r>
    </w:p>
    <w:p>
      <w:r>
        <w:rPr>
          <w:b/>
        </w:rPr>
        <w:t>E. 2</w:t>
      </w:r>
    </w:p>
    <w:p>
      <w:r>
        <w:t>Invoquant une violation du droit fédéral, la recourante reproche en substance à la cour cantonale d'avoir confirmé la décision du Tribunal de police selon laquelle son opposition à l'ordonnance pénale du 18 avril 2018 n'était pas valable. Elle fait notamment grief au ministère public de ne pas lui avoir notifié personnellement l'ordonnance pénale du 18 avril 2018 au lieu de la notifier à son avocate A.________.</w:t>
      </w:r>
    </w:p>
    <w:p>
      <w:r>
        <w:rPr>
          <w:b/>
        </w:rPr>
        <w:t>E. 2.1</w:t>
      </w:r>
    </w:p>
    <w:p>
      <w:r>
        <w:t>Aux termes de l' art. 356 CPP , lorsqu'il décide de maintenir l'ordonnance pénale, le ministère public transmet sans retard le dossier au tribunal de première instance en vue des débats. L'ordonnance pénale tient lieu d'acte d'accusation (al. 1). Le tribunal de première instance statue sur la validité de l'ordonnance pénale et de l'opposition (al. 2). Seul ce tribunal est compétent pour statuer sur la validité de l'opposition à l'ordonnance pénale ( ATF 140 IV 192 consid. 1.3 p. 195). L'examen de la validité de l'opposition a lieu d'office. Lorsque l'opposition n'est pas valable, notamment car elle est tardive (cf. ATF 142 IV 201 consid. 2.2 p. 204), le tribunal de première instance n'entre pas en matière sur l'opposition (arrêt 6B_1067/2018 du 23 novembre 2018 consid. 1.2 et la référence citée). L' art. 353 al. 3 CPP prévoit que l'ordonnance pénale est immédiatement notifiée par écrit aux personnes et aux autorités qui ont qualité pour former opposition. La notification et la communication de l'ordonnance pénale sont régies, outre par cet alinéa, par les normes générales des art. 84 à 88 CPP ( ATF 144 IV 64 consid. 2.1 p. 65).</w:t>
      </w:r>
    </w:p>
    <w:p>
      <w:r>
        <w:rPr>
          <w:b/>
        </w:rPr>
        <w:t>E. 2.2</w:t>
      </w:r>
    </w:p>
    <w:p>
      <w:r>
        <w:t>Aux termes de l' art. 87 CPP , toute communication doit être notifiée au domicile, au lieu de résidence habituelle ou au siège du destinataire (al. 1). Les parties et leur conseil qui ont leur domicile, leur résidence habituelle ou leur siège à l'étranger sont tenus de désigner un domicile de notification en Suisse; les instruments internationaux prévoyant la possibilité de notification directe sont réservés (al. 2). Si les parties sont pourvues d'un conseil juridique, les communications sont valablement notifiées à celui-ci (al. 3). Selon la jurisprudence, l' art. 87 al. 1 CPP constitue la règle, les alinéas 2 et 3 la limitant, l'alinéa 2 en imposant la désignation d'un domicile de notification en Suisse aux parties et à leurs conseils ayant leur domicile, résidence habituelle ou siège à l'étranger, l'alinéa 3 en prescrivant, malgré l'existence éventuelle d'un domicile de notification de la partie au sens de l'alinéa 1, la notification auprès de son conseil. Dès lors que la partie a un avocat ( art. 87 al. 3 CPP ), elle ne peut donc plus exiger que les communications lui soient notifiées au lieu désigné par la règle générale prescrite à l' art. 87 al. 1 CPP . Quant à l' art. 87 al. 4 CPP relatif à la communication liée à une obligation de comparaître personnellement à une audience ou d'accomplir personnellement un acte de procédure et prévoyant que dans un tel cas la communication est notifiée directement à la partie, alors même qu'elle a un conseil juridique, cette disposition suit immédiatement l' art. 87 al. 3 CPP et constitue clairement une limitation de cette dernière disposition. Cette systématique démontre bien encore que la notification au conseil, quand il y a un conseil, est la règle ( art. 87 al. 3 CPP ) et la notification à la partie, malgré ce conseil, l'exception. Le but des règles sur la notification est en effet d'assurer la sécurité du droit et l'économie de procédure. Celui qui annonce aux autorités pénales se faire assister pour défendre ses intérêts d'un conseil juridique ayant, comme en l'espèce, son étude en Suisse communique de la sorte une adresse de notification simple et sûre pour les autorités, à savoir celle de son conseil ( ATF 144 IV 64 consid. 2.5 p. 68; arrêt 6B_1415/2017 du 16 mai 2018 consid. 1.3). Dès lors, il convient de considérer que l' art. 87 al. 3 CPPest d'ordre impératif et ne laisse pas de place à une réserve qui serait faite par la partie assistée, ou son conseil, que les communications dans l'affaire pour laquelle elle a constitué ce conseil lui parviennent directement à elle. Lorsqu'un conseil juridique a été institué, les communications doivent lui être notifiées, sous peine d'invalidité ( ATF 144 IV 64 consid. 2.5 p. 68 et les références citées).</w:t>
      </w:r>
    </w:p>
    <w:p>
      <w:r>
        <w:rPr>
          <w:b/>
        </w:rPr>
        <w:t>E. 2.3</w:t>
      </w:r>
    </w:p>
    <w:p>
      <w:r>
        <w:t>En l'espèce, il ressort de l'arrêt attaqué que l'avocate A.________ a informé le Procureur, le 4 janvier 2017, qu'elle représentait la recourante dans le cadre de la procédure pénale dirigée à son encontre et a produit une procuration signée par celle-ci et datée du 27 décembre 2016. Il s'ensuit que c'est à bon droit que la cour cantonale a jugé que la notification de l'ordonnance pénale à la recourante à l'adresse de son avocate était valable. Pour le surplus, la recourante soutient que le ministère public aurait également dû lui notifier l'ordonnance pénale directement à elle. Elle invoque le fait que l'attitude du ministère public était " propre à créer une certaine confusion ", dans la mesure où il lui aurait directement notifié une lettre datée du 27 janvier 2017 lui accordant une prolongation de délai et que plus d'une année se serait écoulée entre ce courrier et la notification de ladite ordonnance pénale. Ces éléments ne ressortent pas de l'arrêt attaqué, sans que la recourante ne démontre l'arbitraire de leur omission, de sorte qu'ils sont irrecevables. Au demeurant, on ne voit pas en quoi ils changent le fait que l'ordonnance pénale du 18 avril 2018 a été valablement notifiée. Le grief de la recourante doit être rejeté dans la mesure où il est recevable.</w:t>
      </w:r>
    </w:p>
    <w:p>
      <w:r>
        <w:rPr>
          <w:b/>
        </w:rPr>
        <w:t>E. 3</w:t>
      </w:r>
    </w:p>
    <w:p>
      <w:r>
        <w:t>Invoquant l'interdiction du formalisme excessif, la recourante reproche à la cour cantonale d'avoir considéré que les motifs qu'elle avait développés à l'appui de sa requête en restitution du délai selon l' art. 94 CPP ne pouvaient pas être invoqués devant elle, dans la mesure où elle aurait dû les invoquer dans le cadre d'un recours contre la décision du ministère public du 2 juillet 2018 lui refusant la restitution du délai d'opposition. Dans ce cadre, elle se prévaut de l' ATF 142 IV 201 , reprochant au ministère public d'avoir statué sur sa demande de restitution de délai d'opposition au lieu de procéder conformément à ce que prévoit cet arrêt, c'est-à-dire de suspendre la procédure de restitution du délai jusqu'à ce que le tribunal de première instance ait statué sur la question de savoir si l'ordonnance pénale avait été valablement notifiée et si le délai avait été observé ou non ( ATF 142 IV 201 consid. 2).</w:t>
      </w:r>
    </w:p>
    <w:p>
      <w:r>
        <w:rPr>
          <w:b/>
        </w:rPr>
        <w:t>E. 3.1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142 IV 299 consid. 1.3.2 p. 304; 142 I 10 consid. 2.4.2 p. 11; 135 I 6 consid. 2.1 p. 9). En tant que l'interdiction du formalisme excessif sanctionne un comportement répréhensible de l'autorité dans ses relations avec le justiciable, elle poursuit le même but que le principe de la bonne foi ( art. 5 al. 3 et 9 Cst. ; art. 3 al. 2 let. a CPP ). A cet égard, elle commande à l'autorité d'éviter de sanctionner par l'irrecevabilité les vices de procédure aisément reconnaissables qui auraient pu être redressés à temps, lorsque celle-ci pouvait s'en rendre compte assez tôt et les signaler utilement au plaideur ( ATF 125 I 166 consid. 3a p. 170 et les références citées). Si l'autorité a méconnu cette obligation, elle doit tolérer que l'acte concerné soit régularisé, éventuellement hors délai ( ATF 142 I 10 consid. 2.4.3 p. 12).</w:t>
      </w:r>
    </w:p>
    <w:p>
      <w:r>
        <w:rPr>
          <w:b/>
        </w:rPr>
        <w:t>E. 3.2</w:t>
      </w:r>
    </w:p>
    <w:p>
      <w:r>
        <w:t>En l'espèce, c'est en vain que la recourante invoque l' ATF 142 IV 201 , dans la mesure où, dans cette affaire, le recours était dirigé contre une décision de la cour cantonale confirmant le refus du ministère public de restituer le délai d'opposition au sens de l' art. 94 CPP . La présente procédure porte exclusivement sur la question de la validité de la notification de l'ordonnance pénale et sur le caractère tardif de l'opposition de la recourante, sans qu'il y ait lieu de s'interroger sur l'existence de motifs de restitution du délai d'opposition. Comme l'a relevé la cour cantonale, la recourante aurait dû invoquer ses arguments relatifs à la restitution du délai de l' art. 94 CPP dans le cadre d'un éventuel recours, qu'elle aurait pu former contre la décision du ministère public du 2 juillet 2018 lui refusant la restitution du délai, ce qu'elle n'a pas fait. Par ailleurs, il convient de relever qu'il lui incombait également, le cas échéant, de se plaindre de l'absence de suspension de la procédure de restitution de délai par le ministère public, dans le cadre de ce recours. On ne saurait dès lors reprocher à la cour cantonale d'avoir fait preuve de formalisme excessif en ne statuant pas sur la question de la restitution du délai dans le cadre de la présente procédure. Pour le surplus, il n'apparaît pas qu'il existe un motif de restitution au sens de l' art. 94 al. 1 CPP . En effet, c'est en vain que la recourante soutient qu'elle a été empêchée d'observer le délai de restitution en raison d'un manquement de son avocate, laquelle ne lui aurait pas transmis l'ordonnance pénale. En effet, selon la jurisprudence, hormis les cas de grossière erreur de l'avocat en particulier lors d'une défense obligatoire, le comportement fautif de ce dernier est imputable à son client ( ATF 143 I 284 consid. 1.3 p. 287). Or, dans le présent cas, d'une part, il apparaît que l'avocate de la recourante lui avait communiqué une copie de ladite ordonnance et, d'autre part, il ne s'agissait pas d'un cas de défense obligatoire.</w:t>
      </w:r>
    </w:p>
    <w:p>
      <w:r>
        <w:rPr>
          <w:b/>
        </w:rPr>
        <w:t>E. 4</w:t>
      </w:r>
    </w:p>
    <w:p>
      <w:r>
        <w:t>Il découle de ce qui précède que le recours doit être rejeté dans la mesure où il est recevable. Comme il était dénué de chances de succès, la demande d'assistance judiciaire doit également être rejetée ( art. 64 al. 1 LTF ). La recourante, qui succombe, supportera les frais judiciaires, qui seront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