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6B_1006/2010 vom 6. Dezember 2010</w:t>
      </w:r>
    </w:p>
    <w:p>
      <w:r>
        <w:t>Bundesgericht, 2010-12-06, DE</w:t>
      </w:r>
    </w:p>
    <w:p>
      <w:r>
        <w:rPr>
          <w:b/>
        </w:rPr>
        <w:t xml:space="preserve">Quelle: </w:t>
      </w:r>
      <w:r>
        <w:t>https://mcp.opencaselaw.ch/entscheid/bger_6B_1006_2010</w:t>
      </w:r>
    </w:p>
    <w:p>
      <w:r>
        <w:t>FR: TF 6B_1006/2010 du 6 décembre 2010</w:t>
      </w:r>
    </w:p>
    <w:p>
      <w:r>
        <w:t>IT: TF 6B_1006/2010 del 6 dicembre 2010</w:t>
      </w:r>
    </w:p>
    <w:p>
      <w:pPr>
        <w:pStyle w:val="Heading2"/>
      </w:pPr>
      <w:r>
        <w:t>Erwägungen</w:t>
      </w:r>
    </w:p>
    <w:p>
      <w:r>
        <w:rPr>
          <w:b/>
        </w:rPr>
        <w:t>E. 1</w:t>
      </w:r>
    </w:p>
    <w:p>
      <w:r>
        <w:t>Die Beschwerdeführerin wirft einem Zahnarzt vor, er habe ihr zwei gesunde Zähne angebohrt und darin ein Amalgamimplantat eingesetzt, was verboten sei. Auf ihre Strafanzeige wurde mit der Begründung nicht eingetreten, dass ein Zahnarzt des von ihr genannten Namens in Zürich nicht existiere und Amalgamfüllungen für Zähne nach wie vor erlaubt seien. Mit diesen Argumenten befasst sich die Beschwerdeführerin vor Bundesgericht nicht. Auf die Beschwerde, die den Begründungsanforderungen von Art. 42 Abs. 2 BGG nicht genügt, ist im Verfahren nach Art. 108 BGG nicht einzutreten.</w:t>
      </w:r>
    </w:p>
    <w:p>
      <w:r>
        <w:rPr>
          <w:b/>
        </w:rPr>
        <w:t>E. 2</w:t>
      </w:r>
    </w:p>
    <w:p>
      <w:r>
        <w:t>Wie die Vorinstanz kann auch das Bundesgericht auf eine Kostenauflage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