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1005/2022 vom 30. März 2023</w:t>
      </w:r>
    </w:p>
    <w:p>
      <w:r>
        <w:t>Bundesgericht, 2023-03-30, FR</w:t>
      </w:r>
    </w:p>
    <w:p>
      <w:r>
        <w:rPr>
          <w:b/>
        </w:rPr>
        <w:t xml:space="preserve">Quelle: </w:t>
      </w:r>
      <w:r>
        <w:t>https://mcp.opencaselaw.ch/entscheid/bger_6B_1005_2022</w:t>
      </w:r>
    </w:p>
    <w:p>
      <w:r>
        <w:t>FR: TF 6B 1005/2022 du 30 mars 2023</w:t>
      </w:r>
    </w:p>
    <w:p>
      <w:r>
        <w:t>IT: TF 6B 1005/2022 del 30 marzo 2023</w:t>
      </w:r>
    </w:p>
    <w:p>
      <w:pPr>
        <w:pStyle w:val="Heading2"/>
      </w:pPr>
      <w:r>
        <w:t>Regeste</w:t>
      </w:r>
    </w:p>
    <w:p>
      <w:r>
        <w:t>Expulsion (art. 66a al. 2 CP) | Droit pénal (en général)</w:t>
      </w:r>
    </w:p>
    <w:p>
      <w:pPr>
        <w:pStyle w:val="Heading2"/>
      </w:pPr>
      <w:r>
        <w:t>Erwägungen</w:t>
      </w:r>
    </w:p>
    <w:p>
      <w:r>
        <w:rPr>
          <w:b/>
        </w:rPr>
        <w:t>E. 1</w:t>
      </w:r>
    </w:p>
    <w:p>
      <w:r>
        <w:t>Invoquant une violation des art. 66a al. 2 CP , 13, 14 et 36 al. 3 Cst., 8 CEDH, 17 Pacte ONU II et 3 et 10 de la Convention du 20 novembre 1989 relative aux droits de l'enfant, le recourant conteste son expulsion du territoire suisse.</w:t>
      </w:r>
    </w:p>
    <w:p>
      <w:r>
        <w:rPr>
          <w:b/>
        </w:rPr>
        <w:t>E. 1.1</w:t>
      </w:r>
    </w:p>
    <w:p>
      <w:r>
        <w:t>En l'espèce, la condamnation du recourant pour recel par métier entraîne son expulsion de Suisse pour une durée minimale de cinq ans ( art. 66a al. 1 let . c CP), sous la réserve d'une application de l' art. 66a al. 2 CP , voire également des normes de droit international.</w:t>
      </w:r>
    </w:p>
    <w:p>
      <w:r>
        <w:rPr>
          <w:b/>
        </w:rPr>
        <w:t>E. 1.1.1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Cette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6B_859/2022 du 6 mars 2023 consid. 4.2.1; 6B_396/2022 du 20 décembre 2022 consid. 6.3; 6B_1174/2021 du 21 juin 2022 consid. 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6B_859/2022 précité consid. 4.2.1; 6B_396/2022 précité consid. 6.3; 6B_257/2022 du 16 novembre 2022 consid. 3.2).</w:t>
      </w:r>
    </w:p>
    <w:p>
      <w:r>
        <w:rPr>
          <w:b/>
        </w:rPr>
        <w:t>E. 1.1.2</w:t>
      </w:r>
    </w:p>
    <w:p>
      <w:r>
        <w:t>Selon la jurisprudence,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(arrêts 6B_859/2022 précité consid. 4.2.2; 6B_396/2022 précité consid. 6.4; 6B_257/2022 précité consid. 3.3; cf. ATF 144 II 1 consid. 6.1; 135 I 143 consid. 1.3.2, RDAF 2010 I 344). Dans le cadre de l'examen de la proportionnalité de la mesure (cf. art. 8 par. 2 CEDH ), il faut aussi tenir compte de l'intérêt fondamental de l'enfant ( art. 3 CDE ) à pouvoir grandir en jouissant d'un contact étroit avec ses deux parents ( ATF 144 I 91 consid. 5.2; arrêts 6B_396/2022 précité consid. 6.4; 6B_257/2022 précité consid. 3.3; 6B_403/2022 du 31 août 2022 consid. 2.1).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6B_396/2022 précité consid. 6.5; 6B_257/2022 précité consid. 3.3; 6B_38/2021 du 14 février 2022 consid. 5.1.2).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(arrêts 6B_543/2022 du 15 février 2023 consid. 10.1.3; 6B_257/2022 précité consid. 3.3; 6B_234/2021 du 30 mars 2022 consid. 3.2).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6B_745/2022 du 22 février 2023 consid. 3.2.2; 6B_396/2022 précité consid. 6.4; 6B_257/2022 précité consid. 3.3 et les arrêts cités).</w:t>
      </w:r>
    </w:p>
    <w:p>
      <w:r>
        <w:rPr>
          <w:b/>
        </w:rPr>
        <w:t>E. 1.1.3</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Le Tribunal fédéral n'examine la violation des droits fondamentaux que si ce moyen est invoqué et motivé par le recourant ( art. 106 al. 2 LTF ), c'est-à-dire s'il a été expressément soulevé et exposé de manière claire et détaillée ( ATF 143 IV 500 consid. 1.1 p. 503 et les références citées). Les critiques de nature appellatoire sont irrecevables ( ATF 147 IV 73 consid. 4.1.2 p. 81; 146 IV 114 consid. 2.1 p. 118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6B_918/2022 du 2 mars 2023 consid. 3.2; 6B_479/2022 du 9 février 2023 consid. 4.1; 6B_1177/2021 du 26 septembre 2022 consid. 2.1 et les arrêts cités).</w:t>
      </w:r>
    </w:p>
    <w:p>
      <w:r>
        <w:rPr>
          <w:b/>
        </w:rPr>
        <w:t>E. 1.2</w:t>
      </w:r>
    </w:p>
    <w:p>
      <w:r>
        <w:t>La cour cantonale a constaté que le recourant, arrivé en Suisse en 2018, n'y avait jamais été autorisé à séjourner et ne s'y était pas intégré. Il n'avait exercé aucune activité lucrative et s'était rendu coupable, en sus de violations des règles sur l'entrée et le séjour des étrangers, d'infractions à la LStup et contre le patrimoine d'une gravité croissante. Sa relation avec sa compagne, avec laquelle il n'était pas marié, était assez récente et leur enfant était née lorsqu'il se trouvait déjà en détention, de sorte qu'il n'avait pas pu vivre et tisser de liens étroits avec elle. Son retour à U.________ ne lui poserait aucun problème dès lors qu'il était encore jeune et qu'il avait quitté son pays d'origine il y avait seulement environ quatre ans. La mesure querellée ne le placerait dès lors pas dans une situation personnelle grave. L'autorité précédente a encore considéré que l'intérêt à son expulsion prévalait en tout état de cause sur son intérêt à rester en Suisse. Les infractions commises contre la santé publique et le patrimoine se révélaient en effet toujours plus graves et concernaient des périodes toujours plus longues. Une perspective d'amendement faisait défaut: ni sa relation avec sa compagne ni sa future paternité ne l'avaient amené à se détourner de la délinquance, étant rappelé que, son enfant étant née le 24 août 2022 [recte: 2021], il avait été arrêté à plusieurs reprises durant la grossesse de sa compagne. Il n'avait pour le surplus aucun projet concret d'exercer une activité lucrative à sa sortie de prison. Il pouvait enfin retourner dans son pays d'origine sans difficulté et la durée de la mesure était limitée au minimum légal de cinq ans.</w:t>
      </w:r>
    </w:p>
    <w:p>
      <w:r>
        <w:rPr>
          <w:b/>
        </w:rPr>
        <w:t>E. 1.3</w:t>
      </w:r>
    </w:p>
    <w:p>
      <w:r>
        <w:t>Le recourant soutient que les conditions de l' art. 66a al. 2 CP sont remplies. Il est fiancé à B.________, de nationalités suisse et française, avec laquelle il a une fille âgée d'un an. Par ailleurs l'on ne saurait attendre de sa fiancée, qui n'a jamais vécu à U.________, ne parle pas l'arabe et suit actuellement une formation dans la petite enfance, qu'elle s'établisse à U.________, ce d'autant plus qu'elle a deux autres enfants issus de précédentes relations, l'un étant atteint d'autisme. Vu le jeune âge de l'enfant commun, une relation avec le recourant ne pourra pas être préservée via les moyens de télécommunications et de brefs séjours. Bien qu'elle soit née alors que le recourant se trouvait déjà en détention, il avait tout de même pu nouer une relation étroite avec elle au vu de sa présence le lendemain de la naissance et les parloirs réguliers.</w:t>
      </w:r>
    </w:p>
    <w:p>
      <w:r>
        <w:rPr>
          <w:b/>
        </w:rPr>
        <w:t>E. 1.4</w:t>
      </w:r>
    </w:p>
    <w:p>
      <w:r>
        <w:t>Il ressort des faits de l'arrêt attaqué, qui lient le Tribunal fédéral ( art. 105 al. 1 LTF ), que le recourant n'est pas marié avec sa compagne et que leur relation est assez récente. Il n'est ainsi pas habilité à se prévaloir de sa relation de couple sous l'angle d'une atteinte à sa vie familiale, l' art. 8 CEDH ne trouvant en principe pas application dans le cas des concubins, sous réserve de conditions particulières dont il ne prétend pas qu'elles seraient réalisées en l'espèce (cf. supra consid. 1.1.2). Par ailleurs, le recourant, en détention depuis la naissance de sa fille, n'a jamais fait ménage commun avec elle. En tant qu'il prétend qu'elle viendrait, avec sa mère, lui rendre visite en prison deux fois par semaine, le recourant s'écarte des faits constatés dans la décision entreprise sans en démontrer le caractère arbitraire. Ses explications à ce sujet sont dès lors irrecevables (cf. consid. 1.1.3). Au vu de ce qui précède, le recourant ne peut pas se prévaloir d'une atteinte à sa vie familiale au sens de l' art. 8 par. 1 CEDH . Pour le surplus, selon les faits constatés dans la décision entreprise, le recourant n'a jamais disposé d'autorisation de séjour en Suisse, ayant du reste été condamné à plusieurs reprises pour entrée et séjour illégal. Il n'a jamais travaillé et ne s'est pas intégré dans ce pays. Compte tenu de son jeune âge et du fait qu'il a quitté son pays d'origine il y a seulement quatre ans, son retour à U.________ n'apparaît pas problématique. Partant, la cour cantonale n'a pas violé le droit fédéral en considérant que le prononcé d'expulsion ne placerait pas le recourant dans une situation personnelle grave. La première condition cumulative permettant au juge de renoncer exceptionnellement à l'expulsion fait donc défaut. Partant, une application de l' art. 66a al. 2 CP ne pouvait entrer en ligne de compte. Ainsi, la décision d'expulsion n'emporte pas violation des normes invoquées par le recourant. Le grief du recourant doit être rejeté dans la mesure où il est recevable.</w:t>
      </w:r>
    </w:p>
    <w:p>
      <w:r>
        <w:rPr>
          <w:b/>
        </w:rPr>
        <w:t>E. 2</w:t>
      </w:r>
    </w:p>
    <w:p>
      <w:r>
        <w:t>Compte tenu de ce qui précède, le recours doit être rejeté dans la mesure de sa recevabilité.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 La cause étant jugée, la demande d'effet suspensif n'a plus d'objet. Au demeurant, le recours en matière pénale interjeté contre un prononcé d'expulsion déploie de plein droit un effet suspensif (arrêt 6B_1209/2021 du 3 mars 2023 consid. 4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