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6B_1004/2022 vom 23. Mai 2023</w:t>
      </w:r>
    </w:p>
    <w:p>
      <w:r>
        <w:t>Bundesgericht, 2023-05-23, FR</w:t>
      </w:r>
    </w:p>
    <w:p>
      <w:r>
        <w:rPr>
          <w:b/>
        </w:rPr>
        <w:t xml:space="preserve">Quelle: </w:t>
      </w:r>
      <w:r>
        <w:t>https://mcp.opencaselaw.ch/entscheid/bger_6B_1004_2022</w:t>
      </w:r>
    </w:p>
    <w:p>
      <w:r>
        <w:t>FR: TF 6B_1004/2022 du 23 mai 2023</w:t>
      </w:r>
    </w:p>
    <w:p>
      <w:r>
        <w:t>IT: TF 6B_1004/2022 del 23 maggio 2023</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Les décisions rendues en matière de confiscation (art. 69 à 72 CP) et d'allocation au lésé ( art. 73 CP ) constituent des décisions en matière pénale ( art. 78 al. 1 LTF ; arrêts 6B_720/2021 du 11 mars 2022 consid. 1.1; 6B_1065/2017 du 17 mai 2019 consid. 1.1 non publié in ATF 145 IV 237 et la référence citée).</w:t>
      </w:r>
    </w:p>
    <w:p>
      <w:r>
        <w:t>Dirigé contre une telle décision, qui revêt en l'occurrence un caractère final ( art. 90 LTF ) et qui émane d'une autorité cantonale de dernière instance ( art. 80 al. 1 LTF ), le recours est en principe recevable quant à son objet.</w:t>
      </w:r>
    </w:p>
    <w:p>
      <w:r>
        <w:rPr>
          <w:b/>
        </w:rPr>
        <w:t>E. 1.2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146 IV 76 consid. 2; 141 IV 1 consid. 1.1 et les références citées). Sous cet angle, la partie recourante est notamment habilitée à se plaindre d'une décision qui déclare irrecevable un recours cantonal au motif du défaut de qualité pour recourir (cf. arrêts 6B_62/2022 du 21 février 2022 consid. 1.1; 6B_437/2019 du 8 août 2019 consid. 1.2.3; 6B_243/2015 du 12 juin 2015 consid. 1, publié in SJ 2016 I 125).</w:t>
      </w:r>
    </w:p>
    <w:p>
      <w:r>
        <w:rPr>
          <w:b/>
        </w:rPr>
        <w:t>E. 1.3</w:t>
      </w:r>
    </w:p>
    <w:p>
      <w:r>
        <w:t>En l'espèce, la cour cantonale a déclaré irrecevable l'appel interjeté par le recourant au motif qu'il ne disposait pas de la qualité pour recourir devant elle. Le recourant est dès lors habilité, dans cette mesure, à s'en plaindre devant le Tribunal fédéral.</w:t>
      </w:r>
    </w:p>
    <w:p>
      <w:r>
        <w:rPr>
          <w:b/>
        </w:rPr>
        <w:t>E. 2</w:t>
      </w:r>
    </w:p>
    <w:p>
      <w:r>
        <w:t>Invoquant l' art. 29 Cst. , le recourant se plaint d'une violation de son droit d'être entendu.</w:t>
      </w:r>
    </w:p>
    <w:p>
      <w:r>
        <w:rPr>
          <w:b/>
        </w:rPr>
        <w:t>E. 2.1</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2.2</w:t>
      </w:r>
    </w:p>
    <w:p>
      <w:r>
        <w:t>Le recourant fait grief à la cour cantonale de ne pas s'être prononcée sur sa représentation "</w:t>
      </w:r>
    </w:p>
    <w:p>
      <w:r>
        <w:t>ex lege " de lésés. La cour cantonale aurait mentionné cette problématique, mais ne l'aurait pas traitée spécifiquement.</w:t>
      </w:r>
    </w:p>
    <w:p>
      <w:r>
        <w:t>En l'espèce, dans l'arrêt attaqué, la cour cantonale a consacré un développement à cette question. Elle a en effet exposé les motifs pour lesquels elle considérait que le recourant n'avait pas établi une subrogation légale des droits des lésés directs en sa faveur; on comprend</w:t>
      </w:r>
    </w:p>
    <w:p>
      <w:r>
        <w:t>a fortiori de cette motivation que la cour a considéré qu'une "représentation</w:t>
      </w:r>
    </w:p>
    <w:p>
      <w:r>
        <w:t>ex lege " du recourant en faveur des lésés n'était pas donnée. En outre, la cour cantonale a examiné la décision du 28 septembre 2021 produite par le recourant pour établir sa qualité de représentant. Cette motivation est suffisante sous l'angle du droit d'être entendu; le recourant pouvait la comprendre et la contester utilement.</w:t>
      </w:r>
    </w:p>
    <w:p>
      <w:r>
        <w:t>Le grief doit être rejeté.</w:t>
      </w:r>
    </w:p>
    <w:p>
      <w:r>
        <w:rPr>
          <w:b/>
        </w:rPr>
        <w:t>E. 3</w:t>
      </w:r>
    </w:p>
    <w:p>
      <w:r>
        <w:t>Le recourant soutient qu'en lui refusant la qualité pour recourir dans un litige concernant la restitution d'avoirs confisqués, subsidiairement leur allocation, la cour cantonale aurait violé les art. 9 Cst. , 70 ss CP ainsi que 104 al. 2 et 380 ss CPP. Il se plaint également d'arbitraire dans l'établissement des faits.</w:t>
      </w:r>
    </w:p>
    <w:p>
      <w:r>
        <w:rPr>
          <w:b/>
        </w:rPr>
        <w:t>E. 3.1.1</w:t>
      </w:r>
    </w:p>
    <w:p>
      <w:r>
        <w:t>En vertu de l' art. 382 al. 1 CPP , toute partie qui a un intérêt juridiquement protégé à l'annulation ou à la modification d'une décision a qualité pour recourir contre celle-ci.</w:t>
      </w:r>
    </w:p>
    <w:p>
      <w:r>
        <w:t>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plus récemment, dans le cas d'une créance compensatrice, arrêt 6B_112/2022 du 10 novembre 2022 consid. 1.2). Une partie qui n'est pas concrètement lésée par la décision ne possède donc pas la qualité pour recourir et son recours est irrecevable ( ATF 144 IV 81 consid. 2.3.1).</w:t>
      </w:r>
    </w:p>
    <w:p>
      <w:r>
        <w:t>Par ailleurs, le recourant doit avoir un intérêt actuel et pratique au recours ( ATF 144 IV 81 consid. 2.3.1), respectivement à l'examen des griefs soulevés (arrêt 1B_550/2021 du 13 janvier 2022 consid. 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146 II 335 consid. 1.3; 142 I 135 consid. 1.3.1; arrêt 6B_112/2022 du 10 novembre 2022 consid. 1.2).</w:t>
      </w:r>
    </w:p>
    <w:p>
      <w:r>
        <w:t>La notion de partie visée à l' art. 382 CPP doit être comprise au sens des art. 104 et 105 CPP ( ATF 146 IV 76 consid. 2.2.2; 139 IV 78 consid. 3.1).</w:t>
      </w:r>
    </w:p>
    <w:p>
      <w:r>
        <w:rPr>
          <w:b/>
        </w:rPr>
        <w:t>E. 3.1.2</w:t>
      </w:r>
    </w:p>
    <w:p>
      <w:r>
        <w:t>Selon l' art. 105 al. 1 let . f CPP, participent à la procédure les tiers touchés par des actes de procédure. Lorsque des participants à la procédure visés à l'alinéa 1 sont directement touchés dans leurs droits, la qualité de partie leur est reconnue dans la mesure nécessaire à la sauvegarde de leurs intérêts ( art. 105 al. 2 CPP ). Pour que le participant à la procédure se voie reconnaître la qualité de partie en application de l' art. 105 al. 2 CPP ,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 ATF 145 IV 161 consid. 3.1; 143 IV 40 consid. 3.6; 137 IV 280 consid. 2.2.1 et les références citées).</w:t>
      </w:r>
    </w:p>
    <w:p>
      <w:r>
        <w:rPr>
          <w:b/>
        </w:rPr>
        <w:t>E. 3.1.3</w:t>
      </w:r>
    </w:p>
    <w:p>
      <w:r>
        <w:t>En vertu de l' art. 104 al. 2 CPP , la Confédération et les cantons peuvent reconnaître la qualité de partie, avec tous les droits ou des droits limités, à d'autres autorités chargées de sauvegarder des intérêts publics. Les autorités en question peuvent être cantonales (conseils communaux, autorités d'assistance sociale ou de protection de l'environnement, autorité chargée du recouvrement des pensions alimentaires - art. 217 al. 2 CP ) ou fédérales (Ministère public de la Confédération, Chancellerie et départements fédéraux; arrêt 1B_669/2021 du 8 mars 2022 consid. 3.2 et la référence citée). La notion d'autorité au sens de cette disposition doit être comprise dans un sens restrictif ( ATF 144 IV 240 consid. 2; plus récemment, arrêt 1B_669/2021 précité consid. 3.2 et la référence citée).</w:t>
      </w:r>
    </w:p>
    <w:p>
      <w:r>
        <w:t>La reconnaissance de la qualité de partie au sens de l' art. 104 al. 2 CPP doit être expressément prévue dans une loi au sens formel (arrêt 6B_109/2020 du 1er avril 2020 consid. 3.1 et la référence citée).</w:t>
      </w:r>
    </w:p>
    <w:p>
      <w:r>
        <w:rPr>
          <w:b/>
        </w:rPr>
        <w:t>E. 3.2</w:t>
      </w:r>
    </w:p>
    <w:p>
      <w:r>
        <w:t>La cour cantonale a considéré que le recourant n'avait pas qualité pour recourir et que son recours s'avérait dès lors irrecevable.</w:t>
      </w:r>
    </w:p>
    <w:p>
      <w:r>
        <w:t>Elle a estimé qu'à défaut d'être lésé directement ou d'avoir indemnisé les lésés, le recourant n'établissait pas de subrogation légale en sa faveur - ou en faveur de l'organe étatique étranger l'ayant mandaté. La tâche de "</w:t>
      </w:r>
    </w:p>
    <w:p>
      <w:r>
        <w:t>Repayment administrator " dont le recourant entendait tirer sa qualité pour agir au nom des lésés avait pour fondement des violations répétées à la législation bancaire d'Afrique du Sud. Il n'y était nulle part question d'infractions au préjudice d'intérêts individuels ou d'indemnisation des victimes, pas même au titre de lésés d'actes de blanchiment, ni même que celles-ci lui auraient cédé leurs droits en vue de recouvrement. Il n'y était pas davantage question que les autorités sud-africaines auraient été directement atteintes dans leur patrimoine par les actes poursuivis pénalement en Suisse. La pyramide de Ponzi, telle qu'elle était alléguée, n'avait pas touché la Banque centrale de la République d'Afrique du Sud, ni n'avait ce but.</w:t>
      </w:r>
    </w:p>
    <w:p>
      <w:r>
        <w:t>La cour cantonale a retenu que l' art. 104 al. 2 CPP - dont le recourant prônait l'application par analogie - ne lui conférait pas plus la qualité pour agir. Pour une autorité pénale étrangère, la voie procédurale à suivre était en effet celle de l'art. 74a al. 1 de la loi fédérale du 20 mars 1981 sur l'entraide internationale en matière pénale (EIMP; RS 351.2) qui prévoyait en toutes lettres la restitution du produit de l'infraction à l'ayant droit. Le fait que le partage intervenu en 2018 par application de la LVPC l'empêche apparemment désormais d'agir par cette voie n'était pas une raison suffisante pour étendre à son cas la qualité pour agir en matière de procédures postérieures au jugement, au sens de l' art. 363 CPP ; pour ce qui concernait le recourant, ces procédures n'étaient pas subsidiaires ou alternatives aux règles de l'entraide pénale internationale. A cet égard, l'objection du recourant selon laquelle la République d'Afrique du Sud n'aurait pas su que des valeur patrimoniales avaient été saisies, puis confisquées en Suisse, n'était pas recevable. Les autorités étrangères concernées ne pouvaient pas sérieusement prétendre avoir ignoré l'existence de la procédure pénale helvétique et la saisie concomitante d'avoirs présumés d'origine criminelle: en mai 2012, le ministère public leur avait décerné une commission rogatoire internationale qui détaillait les faits susceptibles de constituer le blanchiment en Suisse de fonds collectés illégalement dans leur pays. Or le recourant exposait avoir été nommé liquidateur en mars 2012 déjà et avoir en cette qualité aidé à répondre en août 2013 à la mission d'entraide.</w:t>
      </w:r>
    </w:p>
    <w:p>
      <w:r>
        <w:rPr>
          <w:b/>
        </w:rPr>
        <w:t>E. 3.3.1</w:t>
      </w:r>
    </w:p>
    <w:p>
      <w:r>
        <w:t>Le recourant soutient que la cour cantonale aurait fait preuve d'arbitraire en ignorant l'existence d'infractions commises au préjudice d'intérêts individuels de personnes sud-africaines représentées par lui, ainsi que de son obligation de recouvrer les avoirs pour les restituer aux lésés directs. Toujours selon le recourant, la cour cantonale aurait dû tenir compte de ses obligations statutaires et des particularités du système juridique de</w:t>
      </w:r>
    </w:p>
    <w:p>
      <w:r>
        <w:t>common law sud-africain.</w:t>
      </w:r>
    </w:p>
    <w:p>
      <w:r>
        <w:t>L'argumentation du recourant se fonde cependant sur une appréciation toute personnelle de la situation, ainsi que sur des éléments de fait qu'il invoque librement. Ce faisant, le recourant ne parvient pas à démontrer, ni même tente de démontrer, que l'appréciation des preuves opérée par la cour cantonale serait arbitraire. S'agissant de l'ordonnance du 28 septembre 2021 dont le recourant entend tirer sa qualité de "</w:t>
      </w:r>
    </w:p>
    <w:p>
      <w:r>
        <w:t>Repayment administrator ", la cour cantonale a souligné que le document produit était un projet d'ordonnance ("</w:t>
      </w:r>
    </w:p>
    <w:p>
      <w:r>
        <w:t>draft order ") - dont le mot "draft" avait été barré de deux traits - et qu'émanant apparemment de la "</w:t>
      </w:r>
    </w:p>
    <w:p>
      <w:r>
        <w:t>High Court of South Africa ", il était signé par le seul greffier ("</w:t>
      </w:r>
    </w:p>
    <w:p>
      <w:r>
        <w:t>registrar "); la décision avait enfin été rendue à la requête du recourant et "</w:t>
      </w:r>
    </w:p>
    <w:p>
      <w:r>
        <w:t>ex parte ". Au vu des éléments mis en exergue dans l'état de fait cantonal, au terme de l'appréciation des preuves, la cour cantonale a considéré que le caractère probant de ce document était largement sujet à caution. Or le recourant se borne à invoquer ce document, se contentant de s'indigner que sa bonne foi soit remise en cause et de confirmer que la décision émanerait effectivement des autorités judiciaires sud-africaines et ferait l'objet d'une procédure de reconnaissance. Ces allégations ne suffisent pas à démontrer que l'appréciation cantonale serait manifestement insoutenable sur ce point. En définitive, strictement appellatoire, l'argumentation du recourant est irrecevable.</w:t>
      </w:r>
    </w:p>
    <w:p>
      <w:r>
        <w:rPr>
          <w:b/>
        </w:rPr>
        <w:t>E. 3.3.2</w:t>
      </w:r>
    </w:p>
    <w:p>
      <w:r>
        <w:t>Le recourant entend tirer sa qualité pour recourir de son statut de "représentant</w:t>
      </w:r>
    </w:p>
    <w:p>
      <w:r>
        <w:t>ex lege " des lésés. Il fait ainsi valoir que son intérêt juridique découlerait de son "obligation légale" de préserver les intérêts de tous les lésés directs, conformément aux règles sud-africaines applicables. Il allègue à cet égard l'intérêt évident des lésés directs à récupérer les valeurs patrimoniales confisquées.</w:t>
      </w:r>
    </w:p>
    <w:p>
      <w:r>
        <w:t>La cour cantonale a relevé - sans que le recourant ne le remette en cause - que celui-ci, qui revendiquait agir au nom et pour le compte d'une autorité administrative bancaire d'Afrique du Sud, voire de la banque centrale de cet Etat, n'était pas lésé directement par les infractions qui avaient conduit à la confiscation des fonds dont il demandait l'allocation; il n'avait pas non plus indemnisé les lésés directs, à la manière d'une assurance de dommage; il se proposait au contraire de recevoir les fonds confisqués en Suisse pour les répartir ensuite au profit des lésés, agissant - selon ses termes - pour la défense des "intérêts directs des autorités sud-africaines".</w:t>
      </w:r>
    </w:p>
    <w:p>
      <w:r>
        <w:t>En l'espèce, il ne résulte pas de l'arrêt cantonal qu'une base légale sud-africaine permettrait au recourant de se prévaloir directement de la qualité de représentant légal des lésés de son pays. A suivre le recourant, cette représentation découlerait d'ailleurs de la décision du 28 septembre 2021 produite par lui dans le cadre de la procédure. Cependant, selon les constatations cantonales - qui lient le Tribunal fédéral ( art. 105 al. 1 LTF ; cf. ci-dessus consid. 3.3.1) - ce document ne dispose pas d'une force probante suffisante; le mandat de "</w:t>
      </w:r>
    </w:p>
    <w:p>
      <w:r>
        <w:t>Repayment administrator " allégué par le recourant ne résulte par conséquent pas de l'état de fait de l'arrêt querellé. En l'absence d'une base légale topique et d'une décision, la cour cantonale n'a pas violé le droit fédéral en considérant que le recourant n'avait pas établi disposer d'un mandat légal pour agir en faveur des lésés sud-africains dans la présente cause. Autrement dit, le recourant n'a pas établi le fondement de sa prétendue représentation des lésés. Dans la mesure où le mandat dont le recourant se prévaut n'est pas établi, on peut laisser indécis le point de savoir si cette "représentation</w:t>
      </w:r>
    </w:p>
    <w:p>
      <w:r>
        <w:t>ex lege " - dont le recourant admet d'ailleurs qu'elle n'existe pas dans l'ordre juridique suisse - aurait été susceptible de lui conférer la qualité pour recourir.</w:t>
      </w:r>
    </w:p>
    <w:p>
      <w:r>
        <w:t>Le recourant soutient encore qu'une application de l' art. 104 al. 2 CPP par analogie s'imposerait. En l'espèce, son raisonnement repose à nouveau sur la prémisse de sa qualité de "</w:t>
      </w:r>
    </w:p>
    <w:p>
      <w:r>
        <w:t>Repayment administrator " désigné par la "</w:t>
      </w:r>
    </w:p>
    <w:p>
      <w:r>
        <w:t>Prudential authority ". Or comme on l'a vu, sur la base des faits retenus par la cour cantonale et dont le recourant n'a pas démontré l'arbitraire, ce statut n'est pas établi (cf. ci-dessus consid. 3.3.1). Sur la base des faits retenus, le recourant ne saurait pas plus trouver d'appui sur l' art. 121 al. 2 CPP , qu'il n'invoque d'ailleurs pas.</w:t>
      </w:r>
    </w:p>
    <w:p>
      <w:r>
        <w:rPr>
          <w:b/>
        </w:rPr>
        <w:t>E. 3.3.3</w:t>
      </w:r>
    </w:p>
    <w:p>
      <w:r>
        <w:t>Le recourant se prévaut enfin d'une violation des art. 70 et 73 CP , ainsi que d'une violation du principe de la bonne foi. Il tente par là de remettre en cause des décisions antérieures concernant le fond du litige, soit le principe même de la confiscation. Or, tel n'est pas l'objet de la présente procédure, qui est limitée à la question de la qualité pour agir du recourant devant la cour cantonale. Ces griefs doivent dès lors être écartés.</w:t>
      </w:r>
    </w:p>
    <w:p>
      <w:r>
        <w:rPr>
          <w:b/>
        </w:rPr>
        <w:t>E. 3.4</w:t>
      </w:r>
    </w:p>
    <w:p>
      <w:r>
        <w:t>En définitive, la cour cantonale n'a pas violé le droit fédéral en considérant que le recourant n'avait pas qualité pour recourir devant elle.</w:t>
      </w:r>
    </w:p>
    <w:p>
      <w:r>
        <w:rPr>
          <w:b/>
        </w:rPr>
        <w:t>E. 4</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