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6B_1003/2021 vom 8. September 2022</w:t>
      </w:r>
    </w:p>
    <w:p>
      <w:r>
        <w:t>Bundesgericht, 2022-09-08, FR</w:t>
      </w:r>
    </w:p>
    <w:p>
      <w:r>
        <w:rPr>
          <w:b/>
        </w:rPr>
        <w:t xml:space="preserve">Quelle: </w:t>
      </w:r>
      <w:r>
        <w:t>https://mcp.opencaselaw.ch/entscheid/bger_6B_1003_2021</w:t>
      </w:r>
    </w:p>
    <w:p>
      <w:r>
        <w:t>FR: TF 6B_1003/2021 du 8 septembre 2022</w:t>
      </w:r>
    </w:p>
    <w:p>
      <w:r>
        <w:t>IT: TF 6B_1003/2021 del 8 settembre 2022</w:t>
      </w:r>
    </w:p>
    <w:p>
      <w:pPr>
        <w:pStyle w:val="Heading2"/>
      </w:pPr>
      <w:r>
        <w:t>Erwägungen</w:t>
      </w:r>
    </w:p>
    <w:p>
      <w:r>
        <w:rPr>
          <w:b/>
        </w:rPr>
        <w:t>E. 1</w:t>
      </w:r>
    </w:p>
    <w:p>
      <w:r>
        <w:t>Tout en se plaignant d'une violation de son droit d'être entendue en lien avec la motivation de l'arrêt attaqué et en reprochant à la cour cantonale d'avoir constaté les faits de façon arbitraire, la recourante lui fait grief d'avoir violé les art. 429 al. 1 let. a et 430 al. 1 let. a CPP en confirmant le refus de lui allouer une indemnité pour les dépenses occasionnées pour l'exercice raisonnable de ses droits de procédure.</w:t>
      </w:r>
    </w:p>
    <w:p>
      <w:r>
        <w:rPr>
          <w:b/>
        </w:rPr>
        <w:t>E. 1.1</w:t>
      </w:r>
    </w:p>
    <w:p>
      <w:r>
        <w:t>Le sort des frais de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119 Ia 332 consid. 1b; 116 Ia 162 consid. 2c; cf. encore récemment: arrêt 6B_1231/2021 du 4 janvier 2022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Le juge ne peut fonder sa décision que sur des faits incontestés ou déjà clairement établis ( ATF 112 Ia 371 consid. 2a; arrêts 6B_1090/2020 du 1er avril 2021 consid. 2.1.1; 6B_762/2020 du 17 mars 2021 consid. 3.1).</w:t>
      </w:r>
    </w:p>
    <w:p>
      <w:r>
        <w:t>Selon la jurisprudence, un comportement immoral ou contraire au principe de la bonne foi au sens de l' art. 2 CC ne peut en principe suffire pour justifier l'intervention des autorités répressives et, partant, entraîner l'imputation des frais au prévenu acquitté (cf. arrêts 6B_287/2021 du 11 novembre 2021 consid. 1.2.2; 6B_665/2020 du 22 septembre 2021 consid. 2.2.2 et 4; 6B_666/2019 du 4 septembre 2019 consid. 2.1; 6B_1011/2018 du 11 décembre 2018 consid. 1.2; 6B_301/2017 du 20 février 2018 consid. 1.2.2 et les références citées).</w:t>
      </w:r>
    </w:p>
    <w:p>
      <w:r>
        <w:t>L' art. 426 al. 2 CPP définit une "</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6B_1319/2019 du 18 août 2020 consid. 2.1 [non publié aux ATF 146 IV 249 ]; 6B_956/2019 du 19 novembre 2019 consid. 1.1 et les arrêts cités).</w:t>
      </w:r>
    </w:p>
    <w:p>
      <w:r>
        <w:rPr>
          <w:b/>
        </w:rPr>
        <w:t>E. 1.2</w:t>
      </w:r>
    </w:p>
    <w:p>
      <w:r>
        <w:t>Selon l' art. 429 al. 1 let. a CPP , si le prévenu est acquitté totalement ou en partie ou s'il bénéficie d'une ordonnance de classement, il a droit à une indemnité pour les dépenses occasionnées par l'exercice raisonnable de ses droits de procédure. L' art. 430 al. 1 let. a CPP permet à l'autorité pénale de réduire ou refuser l'indemnité prévue par l' art. 429 CPP , lorsque le prévenu a provoqué illicitement et fautivement l'ouverture de la procédure ou a rendu plus difficile la conduite de celle-ci. L' art. 430 al. 1 let. a CPP est le pendant de l' art. 426 al. 2 CPP en matière de frais, la jurisprudence y relative étant applicable par analogie (arrêts 6B_67/2019 du 16 décembre 2020 consid. 9.2; 6B_1146/2016 du 14 juillet 2017 consid. 1.3 et l'arrêt cité). La question de l'indemnisation (art. 429 à 434 CPP) doit être traitée après celle des frais ( ATF 145 IV 268 consid. 1.2; arrêt 6B_565/2019 du 12 juin 2019 consid. 5.1). Dans cette mesure, la décision sur les frais préjuge de la question de l'indemnisation ( ATF 145 IV 268 consid. 1.2; 144 IV 207 consid 1.8.2; 137 IV 352 consid. 2.4.2; arrêts 6B_956/2019 précité consid. 1.1; 6B_666/2019 précité consid. 1).</w:t>
      </w:r>
    </w:p>
    <w:p>
      <w:r>
        <w:t>Si le prévenu supporte les frais en application de l' art. 426 al. 1 ou 2 CPP , une indemnité est en règle générale exclue. En revanche, si l'État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arrêts 6B_67/2019 précité consid. 9.1; 6B_556/2017 du 15 mars 2018 consid. 2.5; 6B_1049/2016 du 22 novembre 2017 consid. 3.1.3; 6B_1146/2016 précité consid. 1.1).</w:t>
      </w:r>
    </w:p>
    <w:p>
      <w:r>
        <w:rPr>
          <w:b/>
        </w:rPr>
        <w:t>E. 1.3</w:t>
      </w:r>
    </w:p>
    <w:p>
      <w:r>
        <w:t>En l'espèce, la cour cantonale a d'abord considéré qu'au vu des circonstances, le ministère public ne pouvait être suivi en ce qui concerne la question de l'assistance d'un mandataire professionnel en lien avec l'accusation d'inobservation des prescriptions légales sur la comptabilité, qui était en l'occurrence justifiée dans son principe. Pour la cour cantonale, ce constat n'impliquait pas pour autant que la recourante puisse prétendre à l'octroi d'une indemnité au sens de l' art. 429 al. 1 let. a CPP dans le cas d'espèce.</w:t>
      </w:r>
    </w:p>
    <w:p>
      <w:r>
        <w:t>Les juges précédents ont ainsi relevé que le ministère public avait renoncé à titre exceptionnel à mettre les frais à la charge de la recourante, faisant fi, aux dires des juges précédents, de l' art. 426 al. 2 CPP , alors qu'il avait par ailleurs expressément relevé que cette dernière avait provoqué illicitement et fautivement la procédure. Elle a par conséquent considéré qu'elle conservait toute latitude pour statuer sur les effets accessoires du classement, soit en l'occurrence sur l'octroi d'une indemnité au sens de l' art. 429 al. 1 let. a CPP , à défaut de la question des frais en raison de la prohibition de la</w:t>
      </w:r>
    </w:p>
    <w:p>
      <w:r>
        <w:t>reformatio in pejus .</w:t>
      </w:r>
    </w:p>
    <w:p>
      <w:r>
        <w:t>Tout en relevant que la recourante avait été mise au bénéfice de la prescription pour les chefs de prévention de contrainte ( art. 181 CP ) et d'inobservation des prescriptions légales sur la comptabilité ( art. 325 CP ), la cour cantonale a jugé qu'elle ne saurait examiner l'éventuelle illicéité du comportement de cette dernière sous l'angle des faits tenus pour constitutifs de ces infractions, sous peine de violer la présomption d'innocence. Elle n'en a pas moins examiné la question d'une éventuelle violation d'une norme de comportement en référence à l' art. 2 CC et aux dispositions de droit privé en matière de comptabilité (cf. art. 957, 958 et 958c CO ).</w:t>
      </w:r>
    </w:p>
    <w:p>
      <w:r>
        <w:t>Pour les juges précédents, il apparaissait à cet égard que, lors des négociations ayant abouti à la vente des actions de B.________ SA, C.________ avait sans conteste obtenu des informations lacunaires quant aux comptes sociaux, s'agissant en particulier du grand livre de l'exercice 2013. Une comptabilité tenue dans les règles de l'art lui aurait permis d'appréhender la réalité de la situation, le cas échéant avec l'assistance d'une fiduciaire, tel étant précisément la</w:t>
      </w:r>
    </w:p>
    <w:p>
      <w:r>
        <w:t>ratio</w:t>
      </w:r>
    </w:p>
    <w:p>
      <w:r>
        <w:t>legis de l' art. 958 CO . Il aurait ainsi négocié à d'autres conditions, voire aurait renoncé à la transaction incriminée. Il fallait en effet rappeler que C.________ reprochait précisément à la recourante et à D.________ de l'avoir trompé au sujet de la situation financière de la société au moment de la signature du contrat de vente d'actions. Dès lors, pour les juges précédents, le désordre comptable ayant entouré cette vente avait suscité et compliqué la présente procédure pénale, comme l'avait exposé avec pertinence le ministère public. Comme venderesse des actions, la recourante était à l'origine de cette confusion fautivement entretenue, portant sur deux aspects indissociables, à savoir les informations données aux candidats acquéreurs, d'une part, et la tenu des comptes sociaux, d'autre part. La faute civile apparaissait donc réalisée à double titre, soit tant par la violation du principe de la bonne foi en affaires au sens de l' art. 2 CC que par la mauvaise tenue de la comptabilité. Il fallait ainsi en conclure que la recourante avait bel et bien provoqué de manière illicite et fautive l'ouverture de la procédure pénale et rendu plus difficile la conduite de celle-ci. Il y avait par conséquent lieu de lui refuser, en application de l' art. 430 al. 1 let. a CPP , l'octroi d'une indemnité au sens de l' art. 429 al. 1 CPP .</w:t>
      </w:r>
    </w:p>
    <w:p>
      <w:r>
        <w:rPr>
          <w:b/>
        </w:rPr>
        <w:t>E. 1.4</w:t>
      </w:r>
    </w:p>
    <w:p>
      <w:r>
        <w:t>Tel qu'exposé ci-dessus, le raisonnement de la cour cantonale n'est pas compréhensible. On relèvera en premier lieu que la cour cantonale évoque des informations lacunaires données à C.________ lors des négociations ayant abouti à la vente des actions de la société, s'agissant en particulier du grand livre de l'exercice 2013. Or, il ressort de l'arrêt attaqué que la vente en question a été conclue le 26 janvier 2007. On voit donc mal comment la référence au grand livre de l'exercice 2013 pourrait être pertinente à cet égard, dès lors que la signature dudit contrat est intervenue plusieurs années auparavant.</w:t>
      </w:r>
    </w:p>
    <w:p>
      <w:r>
        <w:t>Au demeurant, la jurisprudence souligne que, lorsqu'il est question de retenir une faute civile susceptible de justifier la mise des frais à la charge du prévenu bénéficiant d'un classement en application de l' art. 426 al. 2 CPP , respectivement la réduction ou le refus d'une indemnité en vertu de l' art. 430 al. 1 let. a CPP , le juge ne peut fonder sa décision que sur des faits incontestés ou déjà clairement établis (cf.</w:t>
      </w:r>
    </w:p>
    <w:p>
      <w:r>
        <w:t>supra consid. 1.1). A cet égard, la cour cantonale se limite à faire état du désordre comptable ayant entouré la vente d'actions sans plus de précisions sur sa nature ni sur les normes qui auraient été transgressées. De même affirme-t-elle que la recourante aurait, en tant que venderesse des actions, fautivement entretenu une confusion portant sur les informations données au candidat acquéreur et la tenue des comptes sociaux sans plus de développements sur le fait de savoir en quoi cette confusion aurait consisté et quelles normes de comportement auraient concrètement été violées. La cour cantonale n'expose pas non plus en quoi et à quel titre les manquements aux règles comptables évoquées (cf. art. 957, 958 et 958c CO ) seraient en l'occurrence imputables à la recourante. Quant à une éventuelle violation du principe de la bonne foi au sens de l' art. 2 CC , elle ne saurait, conformément à la jurisprudence (cf.</w:t>
      </w:r>
    </w:p>
    <w:p>
      <w:r>
        <w:t>supra consid. 1.1), suffire à elle seule à justifier l'imputation des frais, respectivement le refus d'une indemnité. En ce sens, l'arrêt attaqué ne permet pas de retenir la violation d'une norme de comportement spécifique justifiant le refus d'une indemnité, étant de surcroît rappelé que lorsque, comme en l'espèce, les frais sont laissés à la charge de l'État, une dérogation au principe du droit à l'indemnité ne peut intervenir qu'à titre exceptionnel (cf.</w:t>
      </w:r>
    </w:p>
    <w:p>
      <w:r>
        <w:t>supra consid. 1.2 i. f.). Il s'ensuit que le grief de violation des art. 429 al. 1 let. a et 430 al. 1 let. a CPP soulevé par la recourante s'avère fondé, les autres griefs devenant pour leur part sans objet.</w:t>
      </w:r>
    </w:p>
    <w:p>
      <w:r>
        <w:rPr>
          <w:b/>
        </w:rPr>
        <w:t>E. 2</w:t>
      </w:r>
    </w:p>
    <w:p>
      <w:r>
        <w:t>Au vu de ce qui précède, le recours doit être admis, l'arrêt attaqué annulé et la cause renvoyée à l'autorité précédente pour nouvelle décision au sens des considérants. La recourante, qui obtient gain de cause, ne supporte pas de frais judiciaires ( art. 66 al. 1 LTF ). Elle peut prétendre à de pleins dépens pour la procédure devant le Tribunal fédéral,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