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6B_1002/2022 vom 22. März 2023</w:t>
      </w:r>
    </w:p>
    <w:p>
      <w:r>
        <w:t>Bundesgericht, 2023-03-22, DE</w:t>
      </w:r>
    </w:p>
    <w:p>
      <w:r>
        <w:rPr>
          <w:b/>
        </w:rPr>
        <w:t xml:space="preserve">Quelle: </w:t>
      </w:r>
      <w:r>
        <w:t>https://mcp.opencaselaw.ch/entscheid/bger_6B_1002_2022</w:t>
      </w:r>
    </w:p>
    <w:p>
      <w:r>
        <w:t>FR: TF 6B_1002/2022 du 22 mars 2023</w:t>
      </w:r>
    </w:p>
    <w:p>
      <w:r>
        <w:t>IT: TF 6B_1002/2022 del 22 marzo 2023</w:t>
      </w:r>
    </w:p>
    <w:p>
      <w:pPr>
        <w:pStyle w:val="Heading2"/>
      </w:pPr>
      <w:r>
        <w:t>Erwägungen</w:t>
      </w:r>
    </w:p>
    <w:p>
      <w:r>
        <w:rPr>
          <w:b/>
        </w:rPr>
        <w:t>E. 1.1</w:t>
      </w:r>
    </w:p>
    <w:p>
      <w:r>
        <w:t>Die Beschwerde in Strafsachen ist ein reformatorisches Rechtsmittel ( Art. 107 Abs. 2 BGG ). Die Beschwerdeschrift muss daher grundsätzlich einen Antrag in der Sache enthalten ( Art. 42 Abs. 1 BGG ). Dies bedeutet namentlich, dass Anträge betreffend einen Geldbetrag beziffert sein müssen (Urteile 6B_189/2015 vom 16. Juli 2015 E. 3.2; 6B_515/2008 vom 19. November 2008 E. 5.1), was gerade auch für eigenständige Anträge betreffend Abänderung der kantonalen Kostenregelung gilt ( BGE 143 III 111 E. 1.2; FLORENCE AUBRY GIRARDIN, in: Commentaire de la LTF, 3. Aufl., 2022, N. 23 zu Art. 42 BGG ). Aufhebungsanträge oder Anträge auf Rückweisung der Sache an die Vorinstanz zur neuen Entscheidung allein genügen nicht, ausser wenn das Bundesgericht im Falle der Gutheissung der Beschwerde ohnehin nicht reformatorisch entscheiden könnte ( BGE 137 II 313 E. 1.3; 136 V 131 E. 1.2; 134 III 379 E. 1.3 mit Hinweis). Ein Begehren ohne Antrag in der Sache kann sodann ausreichen, wenn sich aus der Begründung zweifelsfrei ergibt, was mit der Beschwerde angestrebt wird ( BGE 137 II 313 E. 1.3; Urteile 6B_210/2021 vom 24. März 2022 E. 1; 6B_73/2021 vom 28. Februar 2022 E. 1.3; je mit Hinweisen).</w:t>
      </w:r>
    </w:p>
    <w:p>
      <w:r>
        <w:rPr>
          <w:b/>
        </w:rPr>
        <w:t>E. 1.2</w:t>
      </w:r>
    </w:p>
    <w:p>
      <w:r>
        <w:t>Vorliegend hat der Beschwerdeführer ein rein kassatorisches Begehren gestellt, obwohl er mit seiner Beschwerde letztlich die Zusprechung einer Entschädigung und Genugtuung durch die kantonalen Behörden anstrebt. Ein klar beziffertes Sachbegehren stellt er nicht. Auch aus der Beschwerdebegründung geht nicht hervor, welchen Betrag sich der Beschwerdeführer vorstellt. Dies steht im Kontrast dazu, dass sein Rechtsvertreter von der Staatsanwaltschaft mit Schlussverfügung vom 16. November 2021 zur Einreichung einer Kostennote aufgefordert wurde. Damit forderte diese den Beschwerdeführer im Sinne von Art. 429 Abs. 2 StPO auf, seine Ansprüche auf Entschädigung und Genugtuung zu beziffern und zu belegen. Dieser Aufforderung ist er nach den Erwägungen im angefochtenen Entscheid mit Eingabe vom 24. November 2021 nachgekommen. Damit ist aber nicht nachvollziehbar, weshalb der Beschwerdeführer im bundesgerichtlichen Verfahren dem Erfordernis von Art. 42 Abs. 1 BGG , einen bezifferten Sachantrag zu stellen, nicht nachgekommen ist. Zwar rügt der Beschwerdeführer in seiner Beschwerde auch eine Verletzung seines Anspruchs auf rechtliches Gehör in der Ausprägung einer Begründungspflicht; ein solcher Mangel - wenn er denn bestünde - kann jedoch in der Regel vor Bundesgericht geheilt werden, da er reine Rechtsfragen betrifft ( BGE 147 IV 340 E. 4.11.3 mit Hinweisen). Auch vor diesem Hintergrund konnte der Beschwerdeführer somit nicht auf ein reformatorisches Begehren verzichten, womit sich seine Beschwerde als unzulässig erweist.</w:t>
      </w:r>
    </w:p>
    <w:p>
      <w:r>
        <w:rPr>
          <w:b/>
        </w:rPr>
        <w:t>E. 2</w:t>
      </w:r>
    </w:p>
    <w:p>
      <w:r>
        <w:t>Bei diesem Verfahrensausgang wird der Beschwerdeführer kostenpflichtig. Ihm ist mit Blick auf den reduzierten Umfang der bundesgerichtlichen Prüfung eine geringere Gerichtsgebühr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