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6B_1000/2020 vom 30. Oktober 2020</w:t>
      </w:r>
    </w:p>
    <w:p>
      <w:r>
        <w:t>Bundesgericht, 2020-10-30, DE</w:t>
      </w:r>
    </w:p>
    <w:p>
      <w:r>
        <w:rPr>
          <w:b/>
        </w:rPr>
        <w:t xml:space="preserve">Quelle: </w:t>
      </w:r>
      <w:r>
        <w:t>https://mcp.opencaselaw.ch/entscheid/bger_6B_1000_2020</w:t>
      </w:r>
    </w:p>
    <w:p>
      <w:r>
        <w:t>FR: TF 6B_1000/2020 du 30 octobre 2020</w:t>
      </w:r>
    </w:p>
    <w:p>
      <w:r>
        <w:t>IT: TF 6B_1000/2020 del 30 ottobre 2020</w:t>
      </w:r>
    </w:p>
    <w:p>
      <w:pPr>
        <w:pStyle w:val="Heading2"/>
      </w:pPr>
      <w:r>
        <w:t>Erwägungen</w:t>
      </w:r>
    </w:p>
    <w:p>
      <w:r>
        <w:rPr>
          <w:b/>
        </w:rPr>
        <w:t>E. 1</w:t>
      </w:r>
    </w:p>
    <w:p>
      <w:r>
        <w:t>Nach einer Strafanzeige des Beschwerdeführers vom 14. April 2020 wegen "Sorgfaltspflichtverletzung, falscher Beschuldigung, Verweigerung des rechtlichen Gehörs, Verletzungen des Datenschutzgesetzes durch Nichtoffenlegung gespeicherter persönlicher Daten, u.a." nahm die Staatsanwaltschaft eine Strafuntersuchung am 30. April 2020 nicht an die Hand. Eine dagegen gerichtete Beschwerde wies das Obergericht des Kantons Solothurn mit Beschluss vom 10. August 2020 ab.</w:t>
      </w:r>
    </w:p>
    <w:p>
      <w:r>
        <w:t>Der Beschwerdeführer wendet sich mit Beschwerde an das Bundesgericht.</w:t>
      </w:r>
    </w:p>
    <w:p>
      <w:r>
        <w:rPr>
          <w:b/>
        </w:rPr>
        <w:t>E. 2</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 Allfällige Schadenersatz- und Genugtuungsansprüche gegen den beanzeigten Verantwortlichen der Fachstelle Kant. Bedrohungsmanagements ("KBM") der Kantonspolizei Solothurn beurteilen sich indessen ausschliesslich nach dem Verantwortlichkeitsgesetz des Kantons Solothurn (BGS 124.21) und sind damit öffentlich-rechtlicher Natur (vgl. §§ 1 und 2 Abs. 1 VerantwortlichkeitsG/SO). Der Geschädigte kann den Beamten nicht unmittelbar belangen (§ 2 Abs. 2 VerantwortlichkeitsG/SO). Da der Beschwerdeführer folglich keine Zivilansprüche geltend machen kann, ist er zur Beschwerde in Strafsachen nicht legitimiert.</w:t>
      </w:r>
    </w:p>
    <w:p>
      <w:r>
        <w:rPr>
          <w:b/>
        </w:rPr>
        <w:t>E. 3</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S. 5 mit Hinweisen). Soweit eine Rüge zulässig ist, ist klar und detailliert darzulegen, inwieweit das angerufene Recht verletzt worden sein soll.</w:t>
      </w:r>
    </w:p>
    <w:p>
      <w:r>
        <w:t>Der Beschwerdeführer rügt Verfahrensrechte als verletzt. Er bezieht sich dabei allerdings nicht auf das vorliegende, der Strafanzeige zugrunde liegende Verfahren, sondern auf das "KBM-Verfahren". Diese angeblichen Verfahrensverletzungen können hier nicht zur Diskussion gestellt werden. Die Vorinstanz wies im angefochtenen Beschluss bereits darauf hin, dass es sich bei der Datenherausgabe gestützt auf das Informations- und Datenschutzgesetz grundsätzlich um eine verwaltungsrechtliche Angelegenheit handle, welche nicht durch die Strafbehörden verfolgt werde (Beschluss S. 3). Dazu äussert sich der Beschwerdeführer vor Bundesgericht nicht. Inwiefern ihm Akteneinsicht im vorliegenden Verfahren verweigert worden sein soll, ist in der Beschwerde nicht dargetan und auch nicht ersichtlich. Auf den als verletzt gerügten Grundsatz "in dubio pro reo" gemäss Art. 32 Abs. 1 BV kann sich der Beschwerdeführer als Privatkläger nicht berufen. Dass und weshalb die Vorinstanz mit dem angefochtenen Beschluss Recht im Sinne von Art. 95 BGG verletzt haben könnte, ergibt sich aus der Beschwerde mithin nicht. Deren Begründungsmangel ist offensichtlich ( Art. 42 Abs. 2 BGG , Art. 106 Abs. 2 BGG ).</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