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6A.9/2004 vom 23. April 2004</w:t>
      </w:r>
    </w:p>
    <w:p>
      <w:r>
        <w:t>Bundesgericht, 2004-04-23, DE</w:t>
      </w:r>
    </w:p>
    <w:p>
      <w:r>
        <w:rPr>
          <w:b/>
        </w:rPr>
        <w:t xml:space="preserve">Quelle: </w:t>
      </w:r>
      <w:r>
        <w:t>https://mcp.opencaselaw.ch/entscheid/bger_6A.9_2004</w:t>
      </w:r>
    </w:p>
    <w:p>
      <w:r>
        <w:t>FR: TF 6A.9/2004 du 23 avril 2004</w:t>
      </w:r>
    </w:p>
    <w:p>
      <w:r>
        <w:t>IT: TF 6A.9/2004 del 23 aprile 2004</w:t>
      </w:r>
    </w:p>
    <w:p>
      <w:pPr>
        <w:pStyle w:val="Heading2"/>
      </w:pPr>
      <w:r>
        <w:t>Regeste</w:t>
      </w:r>
    </w:p>
    <w:p>
      <w:r>
        <w:t>Strassenbau und Strassenverkehr</w:t>
      </w:r>
    </w:p>
    <w:p>
      <w:pPr>
        <w:pStyle w:val="Heading2"/>
      </w:pPr>
      <w:r>
        <w:t>Erwägungen</w:t>
      </w:r>
    </w:p>
    <w:p>
      <w:r>
        <w:rPr>
          <w:b/>
        </w:rPr>
        <w:t>E. 1</w:t>
      </w:r>
    </w:p>
    <w:p>
      <w:r>
        <w:t>Letztinstanzliche kantonale Entscheide über den Führerausweisentzug unterliegen der Verwaltungsgerichtsbeschwerde an das Bundesgericht ( Art. 24 Abs. 2 SVG ) Die Beschwerdeführerin ist als erstinstanzlich verfügende Behörde legitimiert, gegen das Urteil des Kantonsgerichts Basel-Landschaft Verwaltungsgerichtsbeschwerde ans Bundesgericht zu erheben ( Art. 103 lit. c OG in Verbindung mit Art. 24 Abs. 5 lit. a SVG ). Auf die fristgerecht eingereichte Beschwerde ist grundsätzlich einzutreten. Nicht zu hören ist die Beschwerdeführerin, soweit sich ihre Anträge auf die Modalitäten des Führerausweisentzugs bei einer allfälligen Gutheissung der Beschwerde beziehen. Wann der Führerausweis abgegeben werden muss, ist von der zuständigen kantonalen Behörde anzuordnen.</w:t>
      </w:r>
    </w:p>
    <w:p>
      <w:r>
        <w:rPr>
          <w:b/>
        </w:rPr>
        <w:t>E. 2</w:t>
      </w:r>
    </w:p>
    <w:p>
      <w:r>
        <w:t>Die Beschwerdeführerin bringt vor, das Kantonsgericht habe abweichend von den beiden ersten Instanzen einen leichten Fall bejaht und damit Art. 16 Abs. 2 SVG verletzt. Es hätte einen mittelschweren Fall annehmen und den Führerausweisentzug für die Minimaldauer von einem Monat bestätigen müssen.</w:t>
      </w:r>
    </w:p>
    <w:p>
      <w:r>
        <w:rPr>
          <w:b/>
        </w:rPr>
        <w:t>E. 2.1</w:t>
      </w:r>
    </w:p>
    <w:p>
      <w:r>
        <w:t>Mit der Verwaltungsgerichtsbeschwerde kann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w:t>
      </w:r>
    </w:p>
    <w:p>
      <w:r>
        <w:rPr>
          <w:b/>
        </w:rPr>
        <w:t>E. 2.2</w:t>
      </w:r>
    </w:p>
    <w:p>
      <w:r>
        <w:t>Nach Art. 16 Abs. 2 SVG kann der Führerausweis entzogen werden, wenn der Führer Verkehrsregeln verletzt und dadurch den Verkehr gefährdet oder andere belästigt hat (Satz 1). In leichten Fällen kann eine Verwarnung ausgesprochen werden (Satz 2). Gemäss Art. 16 Abs. 3 lit. a SVG muss der Führerausweis entzogen werden, wenn der Führer den Verkehr in schwerer Weise gefährdet hat. Das Gesetz unterscheidet somit den leichten Fall ( Art. 16 Abs. 2 Satz 2 SVG ), den mittelschweren Fall ( Art. 16 Abs. 2 Satz 1 SVG ) und den schweren Fall ( Art. 16 Abs. 3 lit. a SVG ). Nach der Rechtsprechung kann auf die Anordnung des Führerausweisentzugs grundsätzlich nur verzichtet werden, wenn der Fall leicht im Sinne von Art. 16 Abs. 2 Satz 2 SVG ist. Die Schwere der Verkehrsgefährdung ist nur insoweit von Bedeutung, als sie auch verschuldensmässig relevant ist ( BGE 125 II 561 E. 2b; 126 II 202 E. 1a). Bei einem mittelschweren Fall kommt ein Verzicht auf den Führerausweisentzug lediglich in Betracht, sofern besondere Umstände vorliegen, wie sie in BGE 118 Ib 229 gegeben waren (vgl. auch BGE 123 II 106 E. 2b S. 111). Die Voraussetzungen für die Annahme eines leichten Falles im Sinne von Art. 16 Abs. 2 Satz 2 SVG ergeben sich aus Art. 31 Abs. 2 Satz 2 der Verordnung über die Zulassung von Personen und Fahrzeugen zum Strassenverkehr (VZV; SR 741.51). Nach dieser Bestimmung kann eine Verwarnung verfügt werden, wenn die Voraussetzungen für den fakultativen Entzug nach Art. 31 Abs. 1 VZV erfüllt sind und der Fall nach dem Verschulden und dem Leumund als Motorfahrzeugführer leicht erscheint. Der leichte Fall im Sinne von Art. 16 Abs. 2 Satz 2 SVG setzt somit kumulativ ein leichtes Verschulden und einen guten automobilistischen Leumund des fehlbaren Fahrzeuglenkers voraus. Fehlt es an einem leichten Verschulden, fällt die Annahme eines leichten Falles ausser Betracht, auch wenn der automobilistische Leumund ungetrübt ist (vgl. zuletzt BGE 128 II 282 ). Nur besondere Umstände, wie z.B. die Anwendung von Art. 66bis StGB ( BGE 118 Ib 229 ), können gegebenenfalls auch bei einem mittelschweren Fall zum Verzicht auf den Ausweisentzug führen ( BGE 126 II 202 E. 1b S. 205). Die berufliche Angewiesenheit des Betroffenen auf ein Motorfahrzeug ist bei der Bemessung der Entzugsdauer zu berücksichtigen ( BGE 128 II 285 ).</w:t>
      </w:r>
    </w:p>
    <w:p>
      <w:r>
        <w:rPr>
          <w:b/>
        </w:rPr>
        <w:t>E. 2.3.1</w:t>
      </w:r>
    </w:p>
    <w:p>
      <w:r>
        <w:t>Die Vorinstanz ist von folgendem Sachverhalt ausgegangen, den das Strafgericht des Kantons Tessin im Urteil vom 18. November 2002 verbindlich (vgl. BGE 124 II 103 E. 1c/aa) festgestellt hatte: X.________ entlieh sich zum ersten Mal einen Ferrari 360 Modena (1. Verkehrszulassung: Oktober 2001) und fuhr damit am 12. April 2002 um 12.45 h bei Regen auf der Kantonsstrasse von Cadenazzo in Richtung Mezzovico. Auf einer kurvigen Strecke senkte er die Geschwindigkeit auf 70 km/h, um bei Ausgang der Kurve wieder zu beschleunigen. Er verlor dabei die Beherrschung über das Fahrzeug. In der Folge überquerte er eine doppelte Sicherheitslinie sowie eine Sperrfläche, gelangte auf die Gegenfahrbahn, stiess gegen die angrenzende Mauer und blieb mit dem Fahrzeug schliesslich quer zur Fahrbahn stehen. Der Beschwerdeführer wurde vom Strafrichter deswegen unter anderem des Nichtbeherrschens des Fahrzeugs ( Art. 31 Abs. 1 SVG ), der Nichtanpassung der Geschwindigkeit an die Umstände ( Art. 32 Abs. 2 SVG ) sowie der Überschreitung der Sicherheitslinie ( Art. 34 Abs. 2 SVG ) schuldig gesprochen. An diese rechtliche Würdigung war die Vorinstanz gebunden (vgl. BGE 124 II 103 E. 1c/bb mit Hinweisen).</w:t>
      </w:r>
    </w:p>
    <w:p>
      <w:r>
        <w:rPr>
          <w:b/>
        </w:rPr>
        <w:t>E. 2.3.2</w:t>
      </w:r>
    </w:p>
    <w:p>
      <w:r>
        <w:t>Bei dieser Tatsachenlage und angesichts der rechtlichen Würdigung des Strafrichters hat die Vorinstanz zu Unrecht einen leichten Fall im Sinne von Art. 16 Abs. 2 Satz 2 SVG bejaht. Der Beschwerdeführer lenkte zum ersten Mal den ihm unvertrauten Sportwagen. Ein Ferrari Modena 360 weist für ein auf öffentlichen Strassen zugelassenes Fahrzeug eine ungewöhnlich grosse Motorenleistung auf. Es ist allgemein bekannt, dass solche Fahrzeuge besondere Übung, Fertigkeit und Vorsicht voraussetzen, um im Strassenverkehr jederzeit beherrscht zu werden. Die gewaltigen Antriebskräfte und das besondere Fahrverhalten von derartigen Sportwagen gebieten besonders beim Beschleunigen erhöhte Vorsicht. Der Beschwerdeführer musste angesichts der infolge Regens schlechten Strassenverhältnisse zusätzlich besonders sorgfältig fahren. Wenn er trotz dieser Umstände die signalisierte Höchstgeschwindigkeit von 80 km/h nahezu ausfuhr und gegen Ausgang einer Kurve aus einer Geschwindigkeit von 70 km/h heraus offensichtlich zu stark beschleunigte, missachtete er die ihm obliegenden Vorsichtspflichten deutlich und schuf eine erhöhte abstrakte Gefahr für andere Verkehrsteilnehmer. Sein Verschulden wiegt nicht mehr leicht, wie auch die Höhe der Busse von Fr. 700.-- zum Ausdruck bringt. Damit ist die Annahme eines leichten Falles ausgeschlossen. Wie die beiden ersten Instanzen zutreffend erkannt haben, ist ein mittelschwerer Fall im Sinne von Art. 16 Abs. 2 Satz 1 SVG gegeben. Besondere Umstände, welche auch bei einem mittelschweren Fall zum Verzicht auf den Ausweisentzug führen könnten, liegen keine vor.</w:t>
      </w:r>
    </w:p>
    <w:p>
      <w:r>
        <w:rPr>
          <w:b/>
        </w:rPr>
        <w:t>E. 3</w:t>
      </w:r>
    </w:p>
    <w:p>
      <w:r>
        <w:t>Die Beschwerde erweist sich damit als begründet und ist gutzuheissen. Hebt das Bundesgericht den angefochtenen Entscheid auf, so entscheidet es selbst in der Sache oder weist diese zu neuer Beurteilung an die Vorinstanz zurück ( Art. 114 Abs. 2 OG ). Die für einen Entscheid erforderlichen Elemente liegen vor. Damit kann umgehend entschieden werden. Dem Beschwerdeführer ist der Führerausweis für die gesetzliche Mindestdauer von einem Monat ( Art. 17 Abs. 1 lit. a SVG ) zu entziehen. Über die Modalitäten des Entzugs wird die Entzugsbehörde zu entscheiden haben. Bei diesem Ausgang des Verfahrens, in welchem der Beschwerdegegner vollständig unterlegen ist, hat er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