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6A.97/2006 vom 23. April 2007</w:t>
      </w:r>
    </w:p>
    <w:p>
      <w:r>
        <w:t>Bundesgericht, 2007-04-23, FR</w:t>
      </w:r>
    </w:p>
    <w:p>
      <w:r>
        <w:rPr>
          <w:b/>
        </w:rPr>
        <w:t xml:space="preserve">Quelle: </w:t>
      </w:r>
      <w:r>
        <w:t>https://mcp.opencaselaw.ch/entscheid/bger_6A.97_2006</w:t>
      </w:r>
    </w:p>
    <w:p>
      <w:r>
        <w:t>FR: TF 6A.97/2006 du 23 avril 2007</w:t>
      </w:r>
    </w:p>
    <w:p>
      <w:r>
        <w:t>IT: TF 6A.97/2006 del 23 aprile 2007</w:t>
      </w:r>
    </w:p>
    <w:p>
      <w:pPr>
        <w:pStyle w:val="Heading2"/>
      </w:pPr>
      <w:r>
        <w:t>Erwägungen</w:t>
      </w:r>
    </w:p>
    <w:p>
      <w:r>
        <w:rPr>
          <w:b/>
        </w:rPr>
        <w:t>E. 1</w:t>
      </w:r>
    </w:p>
    <w:p>
      <w:r>
        <w:t>L'arrêt attaqué est antérieur à l'entrée en vigueur, le 1er janvier 2007, de la loi sur le Tribunal fédéral (LTF; RO 2006 1205). Conformément à l' art. 132 al. 1 LTF , c'est sur la base de l'ancien droit de procédure, soit les art. 97 ss OJ , que la présente cause doit être tranchée.</w:t>
      </w:r>
    </w:p>
    <w:p>
      <w:r>
        <w:rPr>
          <w:b/>
        </w:rPr>
        <w:t>E. 2</w:t>
      </w:r>
    </w:p>
    <w:p>
      <w:r>
        <w:t>Selon l' art. 36a OJ , la procédure simplifiée permet de motiver sommairement les décisions du Tribunal fédéral et de renvoyer notamment au mémoire d'une partie ou d'une autorité.</w:t>
      </w:r>
    </w:p>
    <w:p>
      <w:r>
        <w:t>Ce renvoi, ici au mémoire du SAN (qui a été communiqué à l'intimé), se justifie, car l'argumentation présentée se fonde à bon droit sur l' ATF 131 IV 133 . D'après cet arrêt, commet une violation grave des règles de la circulation, pour inobservation d'une distance suffisante, celui qui talonne un véhicule de trop près, c'est-à-dire qui ne pourrait pas s'arrêter à temps en cas de freinage inattendu ( art. 12 al. 3 OCR ). Or, le SAN a démontré de façon convaincante que l'intimé n'aurait pas eu le temps de réagir efficacement si la voiture banalisée avait dû freiner brusquement. Cela vaut même si l'on tient compte des circonstances quelque peu différentes du cas examiné dans l'ATF cité et de celui de l'intéressé (distance parcourue 800 m au lieu de 1500 m, vitesse de 100 km/h au lieu de 80 km/h, intervalle entre les véhicules de 10 m au lieu de 5 m environ).</w:t>
      </w:r>
    </w:p>
    <w:p>
      <w:r>
        <w:t>Ainsi, l'arrêt attaqué viole le droit fédéral en ne retenant qu'une faute moyennement grave à la charge de l'intimé, au lieu d'une faute grave. Le recours doit être admis et la décision attaquée est annulée. En conséquence, la Cour de céans prononce le retrait d'admonestation du permis de conduire de l'intimé durant 3 mois pour toutes les catégories et sous-catégories, à l'exception des catégories spéciales F, G et M ( art. 114 al. 2 OJ ). Le SAN fixera la date à laquelle ce retrait prendra effet.</w:t>
      </w:r>
    </w:p>
    <w:p>
      <w:r>
        <w:t>Au surplus, la cause est renvoyée au Tribunal administratif vaudois pour le règlement des frais de la procédure cantonale ( art. 157 et 159 al. 6 OJ ).</w:t>
      </w:r>
    </w:p>
    <w:p>
      <w:r>
        <w:rPr>
          <w:b/>
        </w:rPr>
        <w:t>E. 3</w:t>
      </w:r>
    </w:p>
    <w:p>
      <w:r>
        <w:t>L'intimé supporte les frais ( art. 156 al. 1 OJ ). Il n'y a pas lieu d'allouer des dépens au SAN ( art. 159 al. 2 OJ ).</w:t>
      </w:r>
    </w:p>
    <w:p>
      <w:r>
        <w:rPr>
          <w:b/>
        </w:rPr>
        <w:t>E. 4</w:t>
      </w:r>
    </w:p>
    <w:p>
      <w:r>
        <w:t>La cause étant jugée, la demande d'effet suspensif n'a plus d'objet.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