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6A.96/2001 vom 18. Februar 2002</w:t>
      </w:r>
    </w:p>
    <w:p>
      <w:r>
        <w:t>Bundesgericht, 2002-02-18, DE</w:t>
      </w:r>
    </w:p>
    <w:p>
      <w:r>
        <w:rPr>
          <w:b/>
        </w:rPr>
        <w:t xml:space="preserve">Quelle: </w:t>
      </w:r>
      <w:r>
        <w:t>https://mcp.opencaselaw.ch/entscheid/bger_6A.96_2001</w:t>
      </w:r>
    </w:p>
    <w:p>
      <w:r>
        <w:t>FR: TF 6A.96/2001 du 18 février 2002</w:t>
      </w:r>
    </w:p>
    <w:p>
      <w:r>
        <w:t>IT: TF 6A.96/2001 del 18 febbraio 2002</w:t>
      </w:r>
    </w:p>
    <w:p>
      <w:pPr>
        <w:pStyle w:val="Heading2"/>
      </w:pPr>
      <w:r>
        <w:t>Regeste</w:t>
      </w:r>
    </w:p>
    <w:p>
      <w:r>
        <w:t>Straf- und Massnahmenvollzug</w:t>
      </w:r>
    </w:p>
    <w:p>
      <w:pPr>
        <w:pStyle w:val="Heading2"/>
      </w:pPr>
      <w:r>
        <w:t>Erwägungen</w:t>
      </w:r>
    </w:p>
    <w:p>
      <w:r>
        <w:rPr>
          <w:b/>
        </w:rPr>
        <w:t>E. 1</w:t>
      </w:r>
    </w:p>
    <w:p>
      <w:r>
        <w:t>Der Vollzug der Freiheitsstrafen und freiheitsentziehender Massnahmen ist aufzuschieben oder zu unterbrechen: a) wenn die Strafe wegen Geisteskrankheit der verurteilten Person nicht zweckmässig vollzogen werden kann, b) wenn mit dem Vollzug wegen Krankheit der verurteilten Person Gefahr für diese, oder wenn bei einer Schwangeren Gefahr für diese oder ihr Kind verbunden wäre.</w:t>
      </w:r>
    </w:p>
    <w:p>
      <w:r>
        <w:rPr>
          <w:b/>
        </w:rPr>
        <w:t>E. 2</w:t>
      </w:r>
    </w:p>
    <w:p>
      <w:r>
        <w:t>Der Beschwerdeführer ist rechtskräftig zu Freiheitsstrafen verurteilt worden. Die Vollstreckung ist aus verschiedenen Gründen aufgeschoben worden. Er macht geltend, er sei weiterhin nicht straferstehungsfähig. a) Der Beschwerdeführer begründet die Beschwerde mit einer nicht nachvollziehbaren Auslegung von Art. 40 StGB : Einem Verurteilten, der während des Vollzugs in eine Heil- oder Pflegeanstalt verbracht werde, müsse der Anstaltsaufenthalt angerechnet werden. Daraus folge, dass umgekehrt ein Verurteilter, der nicht erst während des Vollzugs in eine Heil- oder Pflegeanstalt verbracht werde, sondern schon bei Strafantritt, dieser Anrechnung nicht teilhaftig werde. Deshalb könne an einem schon bei Strafantritt Einweisungsbedürftigen die Strafe nicht vollzogen werden, weder in einer Strafanstalt noch in einer Heil- oder Pflegeanstalt. Er leide in psychischen Stress-Situationen immer unter Diabetes-Schüben. Seit einer Operation im Mai 2000 hätten sich diese Krankheitserscheinungen erheblich und zwar in letale Werte gesteigert. Er könne deshalb bei Strafantritt nach seinen bisherigen Ausführungen weder in eine Strafanstalt noch in eine Heil- oder Pflegeanstalt eingewiesen werden. Der Strafantritt werde bei ihm eine psychosomatische Stress-Situation hervorrufen, die erst die Einweisung in eine Heilanstalt nötig mache. Das sei ein Unding. Sein Gesundheitszustand müsse sich erst bessern. Dann könne alles nach Gesetz seinen Fortgang nehmen. b) Diese auf Art. 40 StGB gestützte Argumentation ist unbehelflich. Es geht weder um eine Unterbrechung des Strafvollzugs ( Art. 40 Abs. 1 StGB ) noch um eine Anrechnung eines Anstaltsaufenthalts auf die Freiheitsstrafe ( Art. 40 Abs. 2 StGB ). Wie das Verwaltungsgericht festhält, ist die Argumentation im Ansatz falsch (angefochtenes Urteil S. 12). c) Zu prüfen ist vielmehr, ob "wichtige Gründe" im Sinne von § 238 StPO /AG einen (weiteren) Aufschub des Strafvollzugs rechtfertigen. Ein wichtiger Grund kann eine fehlende Straferstehungsfähigkeit wegen Krankheit sein. aa) Das Verwaltungsgericht zieht zur Auslegung des Begriffs der "wichtigen Gründe" im Sinne von § 238 StPO /AG die bundesgerichtliche Rechtsprechung zu Art. 40 StGB heran (insbesondere BGE 106 IV 321 ). Diese Auslegung des kantonalen Rechts erscheint jedenfalls haltbar. bb) Das Verwaltungsgericht prüft zahlreiche ärztliche Befunde und Beurteilungen aus der Zeit vom 16. Juni 1998 bis zum 12. Dezember 2000 (angefochtenes Urteil S. 8 f.). Diese Beurteilungen betreffen auch die geltend gemachte Operation vom Mai 2000. Der Beschwerdeführer leidet seit 1987 an Diabetes mellitus. Die Krankheit lässt sich medikamentös gut unter Kontrolle halten. Er erlitt einen erst nachträglich erkannten Herzinfarkt, worauf am 3. Mai 2000 eine Bypass-Operation (koronare Herzkrankheit) mit anschliessend recht guter Rehabilitation erfolgte. Infolge seiner Scheidung (Trennung 1984) geriet er in eine schwere Krise und musste psychiatrisch behandelt werden. Es besteht eine behandelbare depressive Anpassungsstörung (Gutachten vom 17. April 2000, S. 11 ff.; act. 132). Der Beschwerdeführer zeigt wenig Bereitschaft, die körperlichen und psychischen Schwierigkeiten ernsthaft anzugehen (angefochtenes Urteil S. 9, 11). cc) Die Straferstehungsfähigkeit wird in den verschiedenen Berichten unterschiedlich beurteilt. Sie wird von seiner Hausärztin verneint, jedoch insbesondere von den beiden Gutachten mit ausführlicher Begründung unter bestimmten Rahmenbedingungen klar bejaht. Das Verwaltungsgericht folgt den Gutachten (act. 132 und 154; angefochtenes Urteil S. 9 f.). Es kommt zum Ergebnis, dass die vorgesehene Strafanstalt die notwendige ärztliche Versorgung sicherstellt. Weder der Gesundheitszustand noch sein Verhalten könnten ein weiteres Hinausschieben des Strafantritts rechtfertigen (angefochtenes Urteil S. 13). d) Mit diesen massgeblichen Erwägungen setzt sich der Beschwerdeführer nicht auseinander. Er macht insoweit keine Rechtsverletzungen geltend. Es ist weder eine Verletzung seiner verfassungsmässigen Rechte noch eine willkürliche Würdigung der ärztlichen Berichte ersichtlich. Der Gesundheitszustand ist eingehend beurteilt worden. Die ärztliche Betreuung im Strafvollzug ist sichergestellt. e) Eine Prüfung unter dem Titel der Verwaltungsgerichtsbeschwerde könnte zu keinem anderen Ergebnis führen. Insbesondere wäre das Bundesgericht an die Feststellungen des Sachverhalts durch das Verwaltungsgericht gebunden, da dieses als richterliche Behörde den Sachverhalt nicht offensichtlich unrichtig, unvollständig oder unter Verletzung wesentlicher Verfahrensbestimmungen festgestellt hat ( Art. 105 OG ). f) Die Beschwerde ist unbegründet und abzuweisen, soweit darauf einzutreten ist.</w:t>
      </w:r>
    </w:p>
    <w:p>
      <w:r>
        <w:rPr>
          <w:b/>
        </w:rPr>
        <w:t>E. 3</w:t>
      </w:r>
    </w:p>
    <w:p>
      <w:r>
        <w:t>Das Gesuch um unentgeltliche Rechtspflege ist abzuweisen, weil das Rechtsbegehren aussichtslos erschien ( Art. 152 OG ). Entsprechend trägt der Beschwerdeführer die Kosten vor Bundesgericht. Angesichts seiner finanziellen Verhältnisse ist die Gerichtsgebühr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