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6A.90/2006 vom 30. April 2007</w:t>
      </w:r>
    </w:p>
    <w:p>
      <w:r>
        <w:t>Bundesgericht, 2007-04-30, FR</w:t>
      </w:r>
    </w:p>
    <w:p>
      <w:r>
        <w:rPr>
          <w:b/>
        </w:rPr>
        <w:t xml:space="preserve">Quelle: </w:t>
      </w:r>
      <w:r>
        <w:t>https://mcp.opencaselaw.ch/entscheid/bger_6A.90_2006</w:t>
      </w:r>
    </w:p>
    <w:p>
      <w:r>
        <w:t>FR: TF 6A.90/2006 du 30 avril 2007</w:t>
      </w:r>
    </w:p>
    <w:p>
      <w:r>
        <w:t>IT: TF 6A.90/2006 del 30 aprile 2007</w:t>
      </w:r>
    </w:p>
    <w:p>
      <w:pPr>
        <w:pStyle w:val="Heading2"/>
      </w:pPr>
      <w:r>
        <w:t>Erwägungen</w:t>
      </w:r>
    </w:p>
    <w:p>
      <w:r>
        <w:rPr>
          <w:b/>
        </w:rPr>
        <w:t>E. 1</w:t>
      </w:r>
    </w:p>
    <w:p>
      <w:r>
        <w:t>La décision attaquée a été rendue avant l'entrée en vigueur, le 1er janvier 2007, de la loi sur le Tribunal fédéral (LTF; RO 2006 1205). Conformément à l' art. 132 al. 1 LTF , c'est sur la base de l'ancien droit de procédure, en l'espèce les art. 97 ss OJ relatifs au recours de droit administratif, que doit être tranchée la présente cause.</w:t>
      </w:r>
    </w:p>
    <w:p>
      <w:r>
        <w:rPr>
          <w:b/>
        </w:rPr>
        <w:t>E. 2</w:t>
      </w:r>
    </w:p>
    <w:p>
      <w:r>
        <w:t>Selon l' art. 150 al. 4 OJ , si les sûretés ne sont pas fournies avant l'expiration du délai fixé, les conclusions de la partie sont irrecevables.</w:t>
      </w:r>
    </w:p>
    <w:p>
      <w:r>
        <w:t>En l'espèce, le recourant n'a pas fourni les sûretés demandées. Le délai (prolongé) expirant le 12 mars 2007 est désormais échu. Les conclusions présentées sont en conséquence irrecevables.</w:t>
      </w:r>
    </w:p>
    <w:p>
      <w:r>
        <w:rPr>
          <w:b/>
        </w:rPr>
        <w:t>E. 3</w:t>
      </w:r>
    </w:p>
    <w:p>
      <w:r>
        <w:t>Le présent arrêt est communiqué en copie au recourant et au Tribunal administratif du canton de Genève, 2ème section, ainsi qu'au Service des automobiles et de la navigation du canton de Genève.</w:t>
      </w:r>
    </w:p>
    <w:p>
      <w:r>
        <w:t>Lausanne, le 30 avril 2007</w:t>
      </w:r>
    </w:p>
    <w:p>
      <w:r>
        <w:t>Au nom de la Cour de cassation pénale</w:t>
      </w:r>
    </w:p>
    <w:p>
      <w:r>
        <w:t>du Tribunal fédéral suisse</w:t>
      </w:r>
    </w:p>
    <w:p>
      <w:r>
        <w:t>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