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6A.7/2000 vom 17. Mai 2000</w:t>
      </w:r>
    </w:p>
    <w:p>
      <w:r>
        <w:t>Bundesgericht, 2000-05-17, FR</w:t>
      </w:r>
    </w:p>
    <w:p>
      <w:r>
        <w:rPr>
          <w:b/>
        </w:rPr>
        <w:t xml:space="preserve">Quelle: </w:t>
      </w:r>
      <w:r>
        <w:t>https://mcp.opencaselaw.ch/entscheid/bger_6A.7_2000</w:t>
      </w:r>
    </w:p>
    <w:p>
      <w:r>
        <w:t>FR: TF 6A.7/2000 du 17 mai 2000</w:t>
      </w:r>
    </w:p>
    <w:p>
      <w:r>
        <w:t>IT: TF 6A.7/2000 del 17 maggio 2000</w:t>
      </w:r>
    </w:p>
    <w:p>
      <w:pPr>
        <w:pStyle w:val="Heading2"/>
      </w:pPr>
      <w:r>
        <w:t>Regeste</w:t>
      </w:r>
    </w:p>
    <w:p>
      <w:r>
        <w:t>Construction des routes et circulation routière</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 Interjeté en temps utile ( art. 24 al. 6 LCR , 106 al. 1 OJ) par l'autorité habilitée ( art. 24 al. 5 let . c LCR), le recours est recevable. Il peut être formé pour violation du droit fédéral, y compris l'excès ou l'abus du pouvoir d'appréciation ( art. 104 let. a OJ ). Le Tribunal fédéral n'est pas lié par les motifs invoqués, mais il ne peut aller au-delà des conclusions des parties ( art. 114 al. 1 OJ ). Lorsque le recours est, comme c'est le cas en l'espèce, dirigé contre la décision d'une autorité judiciaire, le Tribunal fédéral est lié par les faits constatés dans l'arrêt attaqué, sauf s'ils sont manifestement inexacts ou incomplets ou s'ils ont été établis au mépris de règles essentielles de procédure ( art. 105 al. 2 OJ ). Enfin, saisi d'un recours d'une autorité fédérale habilitée à intervenir afin d'assurer l'application uniforme du droit fédéral, le Tribunal fédéral peut, sans égard aux règles cantonales sur la reformatio in pejus, modifier la décision attaquée au détriment de l'intimé ( ATF 125 II 396 consid. 1, 119 Ib 154 consid. 2b p. 157 et les arrêts cités).</w:t>
      </w:r>
    </w:p>
    <w:p>
      <w:r>
        <w:rPr>
          <w:b/>
        </w:rPr>
        <w:t>E. 2</w:t>
      </w:r>
    </w:p>
    <w:p>
      <w:r>
        <w:t>L'office recourant soutient que l'autorité cantonale aurait dû prononcer un retrait de sécurité plutôt qu'un retrait d'admonestation. Le retrait d'admonestation, fondé sur l' art. 16 al. 2 et 3 LCR , suppose une infraction fautive à une règle de la circulation compromettant la sécurité de la route ou incommodant le public. Il a pour but l'amendement du fautif, la lutte contre les récidives et la sauvegarde de la sécurité du trafic; il a un caractère éducatif et préventif ( ATF 125 II 396 consid. 2a/aa et les références citées). Le retrait de sécurité pour sa part est destiné à protéger la sécurité de la circulation contre les conducteurs incapables ( art. 30 al. 1 OAC ). Il se fonde notamment sur l' art. 16 al. 1 LCR , en vertu duquel le permis de conduire doit être retiré lorsque l'autorité constate que les conditions légales de sa délivrance ne sont pas ou plus remplies, appliqué en relation avec l' art. 14 al. 2 let . d LCR, qui prévoit que le permis de conduire ne peut pas être délivré aux personnes qui, en raison de leurs antécédents, n'offrent pas la garantie qu'en conduisant un véhicule automobile ils respecteront les prescriptions et auront égard à leur prochain. Conformément à l' art. 17 al. 1bis LCR , un tel retrait est prononcé pour une durée indéterminée et assorti d'un délai d'épreuve d'une année au moins. Un retrait de sécurité en raison d'une inaptitude caractérielle au sens de l' art. 14 al. 2 let . d LCR se justifie,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ce qui doit être déterminé sur la base des antécédents et de la situation personnelle de celui-ci ( ATF 125 II 492 consid. 2a et les références citées). L' art. 14 al. 2 let . d LCR est notamment applicable lorsqu'un conducteur a violé délibérément les règles de la circulation routière de manière réitérée, de sorte que son comportement le fait apparaître comme susceptible de ne pas respecter, consciemment ou non, ces règles et de n'avoir pas égard à autrui (cf. RDAT 1998 I 70 273 consid. 4b/cc). En l'espèce, comme l'a montré l'office recourant, compte tenu des antécédents de l'intimé, de l'inefficacité des retraits d'admonestation à lui faire modifier son comportement dans la circulation et même de son intention déclarée de persévérer à contrevenir aux règles de la circulation, le pronostic relatif au comportement futur de l'intimé dans la circulation ne peut qu'être mauvais. Dans ces circonstances, il y a lieu de prononcer un retrait de sécurité de son permis de conduire sans qu'il soit nécessaire de le soumettre préalablement à un examen psychologique. La restitution du permis ne pourra intervenir que lorsqu'un examen psychologique aura permis d'établir que la situation a évolué de sorte que ce pronostic défavorable n'est plus de mise.</w:t>
      </w:r>
    </w:p>
    <w:p>
      <w:r>
        <w:rPr>
          <w:b/>
        </w:rPr>
        <w:t>E. 3</w:t>
      </w:r>
    </w:p>
    <w:p>
      <w:r>
        <w:t>Vu l'issue de la procédure, les frais de la cause doivent être mis à la charge de l'intimé qui succombe ( art. 156 al. 1 OJ ). Il n'y a toutefois pas lieu d'allouer de dépens à l'autorité qui obtient gain de cause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