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6A.75/2003 vom 5. Dezember 2003</w:t>
      </w:r>
    </w:p>
    <w:p>
      <w:r>
        <w:t>Bundesgericht, 2003-12-05, FR</w:t>
      </w:r>
    </w:p>
    <w:p>
      <w:r>
        <w:rPr>
          <w:b/>
        </w:rPr>
        <w:t xml:space="preserve">Quelle: </w:t>
      </w:r>
      <w:r>
        <w:t>https://mcp.opencaselaw.ch/entscheid/bger_6A.75_2003</w:t>
      </w:r>
    </w:p>
    <w:p>
      <w:r>
        <w:t>FR: TF 6A.75/2003 du 5 décembre 2003</w:t>
      </w:r>
    </w:p>
    <w:p>
      <w:r>
        <w:t>IT: TF 6A.75/2003 del 5 dicembre 2003</w:t>
      </w:r>
    </w:p>
    <w:p>
      <w:pPr>
        <w:pStyle w:val="Heading2"/>
      </w:pPr>
      <w:r>
        <w:t>Regeste</w:t>
      </w:r>
    </w:p>
    <w:p>
      <w:r>
        <w:t>Exécution des peines et des mesures</w:t>
      </w:r>
    </w:p>
    <w:p>
      <w:pPr>
        <w:pStyle w:val="Heading2"/>
      </w:pPr>
      <w:r>
        <w:t>Erwägungen</w:t>
      </w:r>
    </w:p>
    <w:p>
      <w:r>
        <w:rPr>
          <w:b/>
        </w:rPr>
        <w:t>E. 1</w:t>
      </w:r>
    </w:p>
    <w:p>
      <w:r>
        <w:t>L'arrêt attaqué a été rendu par une autorité cantonale statuant en dernière instance ( art. 98 let . g OJ) en matière de libération conditionnelle ( art. 38 CP ), qui relève de l'exécution des peines et peut donc faire l'objet d'un recours de droit administratif au Tribunal fédéral ( art. 97 al. 1 OJ ). Conformément à l' art. 103 let. b OJ , le DFJP a qualité pour former un tel recours et l'arrêt attaqué devait donc lui être communiqué. Comme cela ressort du dernier alinéa de son dispositif, l'arrêt attaqué n'a toutefois pas été notifié à cette autorité. La cour cantonale ne nie d'ailleurs pas avoir omis de le faire et ne conteste en rien l'argumentation du recourant selon laquelle, à sa demande, l'arrêt attaqué lui a finalement été notifié le 16 septembre 2003. Déposé dans le délai de 30 jours dès cette notification ( art. 106 al. 1 OJ ), le recours du DFJP a donc été déposé en temps utile.</w:t>
      </w:r>
    </w:p>
    <w:p>
      <w:r>
        <w:rPr>
          <w:b/>
        </w:rPr>
        <w:t>E. 2</w:t>
      </w:r>
    </w:p>
    <w:p>
      <w:r>
        <w:t>Le recours de droit administratif peut être formé pour violation du droit fédéral, y compris l'excès ou l'abus du pouvoir d'appréciation ( art. 104 let. a OJ ). Lorsque, comme en l'espèce, la décision attaquée a été rendue par une autorité judiciaire, le Tribunal fédéral est lié par les faits constatés, sauf s'ils sont manifestement inexacts ou incomplets ou s'ils ont été établis au mépris de règles essentielles de la procédure ( art. 105 al. 2 OJ ).</w:t>
      </w:r>
    </w:p>
    <w:p>
      <w:r>
        <w:rPr>
          <w:b/>
        </w:rPr>
        <w:t>E. 3</w:t>
      </w:r>
    </w:p>
    <w:p>
      <w:r>
        <w:t>A l'appui de sa réponse, l'intimé produit un courrier du Professeur B.________ daté du 28 octobre 2003, accompagné de deux rapports médicaux de cet expert, datés respectivement du 28 octobre 2003 et du 3 novembre 2003. Ces pièces, postérieures à l'arrêt attaqué, n'ont pas été soumises à l'autorité cantonale et sont donc nouvelles.</w:t>
      </w:r>
    </w:p>
    <w:p>
      <w:r>
        <w:rPr>
          <w:b/>
        </w:rPr>
        <w:t>E. 3.1</w:t>
      </w:r>
    </w:p>
    <w:p>
      <w:r>
        <w:t>La question de savoir si et dans quelle mesure des moyens de preuve nouveaux sont admissibles dans un recours de droit administratif doit être tranchée au regard de l' art. 105 al. 2 OJ . En effet, selon la jurisprudence constante relative à cette disposition, lorsque, comme en l'espèce, la décision attaquée émane d'une autorité judiciaire, l'invocation de moyens de preuve nouveaux n'est permise que dans une mesure très restreinte. Dans ce cas, seuls sont admissibles les preuves que l'autorité inférieure aurait dû retenir d'office et dont le défaut d'administration constitue une violation des règles essentielles de la procédure ( ATF 128 III 454 consid. 1 p. 456 et les arrêts cités). Des moyens de preuve visant à établir une modification de l'état de fait postérieure à l'arrêt attaqué ne peuvent en principe être pris en considération, car on ne saurait reprocher à l'autorité inférieure de n'avoir pas tenu compte d'une situation de fait qui s'est modifiée après sa décision ( ATF 121 II 97 consid. 1c p. 99; 107 Ib 167 consid. 1b p. 169). Par ailleurs, les parties ne peuvent invoquer devant le Tribunal fédéral des faits ou moyens de preuve qu'elles auraient été en mesure - ou qu'il leur appartenait, en vertu de leur devoir de collaborer à l'instruction de la cause - de faire valoir devant la juridiction inférieure déjà. De tels allégués ou moyens de preuve tardifs ne permettent pas de faire admettre que les faits auraient été constatés de manière imparfaite au sens de l' art. 105 al. 2 OJ ( ATF 121 II 97 consid. 1c p. 100).</w:t>
      </w:r>
    </w:p>
    <w:p>
      <w:r>
        <w:rPr>
          <w:b/>
        </w:rPr>
        <w:t>E. 3.2</w:t>
      </w:r>
    </w:p>
    <w:p>
      <w:r>
        <w:t>En l'espèce, les nouvelles pièces produites à l'appui de la réponse consistent en un courrier du Professeur B.________ accompagné de deux rapports médicaux concernant l'intimé, qui les a sollicités et obtenus de cet expert après lui avoir communiqué le présent recours. Or, avant de statuer, le tribunal administratif avait mandaté le Professeur B.________ pour qu'il établisse un rapport médical actualisé concernant l'intimé, que cet expert a déposé le 19 juin 2003 en produisant en annexe divers certificats médicaux. Un rapport médical avait donc été recueilli et l'intimé n'a pas contesté ce rapport ni n'a sollicité de rapport complémentaire au motif que celui établi serait insuffisant ou incomplet. Dans ces conditions, l'intimé ne saurait être admis à produire à l'appui de sa réponse un nouvel avis médical qu'il aurait pu solliciter au cours de la procédure cantonale, lors de laquelle il s'est accommodé de celui qui avait été établi, d'autant moins qu'il ne prétend pas que l'autorité cantonale aurait dû faire compléter d'office le rapport du 19 juin 2003 et aurait omis de le faire en violation de règles essentielles de la procédure. Autrement dit, les avis médicaux produits à l'appui de la réponse sont tardifs et, partant, irrecevables. Au demeurant, les pièces litigieuses ne visent pas réellement à établir que la situation de fait se serait modifiée depuis que l'arrêt attaqué a été rendu, notamment qu'une nouvelle évolution favorable de l'intimé serait intervenue depuis lors. Il s'agit bien plutôt de pièces dans lesquels l'expert défend et étaye l'opinion de son rapport du 19 juin 2003, qu'elles tendent donc essentiellement et même exclusivement à confirmer. L'intimé l'admet d'ailleurs lui-même, puisqu'il justifie la production de ces pièces en précisant que l'expert y a "explicité l'opinion qu'il avait donné au Tribunal administratif". Dès lors, fussent-elles prises en considération, que ces pièces n'apporteraient en définitive rien de nouveau.</w:t>
      </w:r>
    </w:p>
    <w:p>
      <w:r>
        <w:rPr>
          <w:b/>
        </w:rPr>
        <w:t>E. 4</w:t>
      </w:r>
    </w:p>
    <w:p>
      <w:r>
        <w:t>Le recourant soutient que l'octroi de la libération conditionnelle à l'intimé viole l' art. 38 ch. 1 CP . Il fait valoir que le rapport B.________ du 19 juin 2003 ne permet pas de retenir une diminution du "potentiel criminel" de l'intimé depuis l'expertise A.________ du 6 juillet 2000, qui n'excluait pas la commission de nouveaux actes de violence. Il ne serait dès lors pas établi que l'une des conditions de l'octroi de la libération conditionnelle, à savoir que l'on puisse prévoir que le condamné se conduira bien en liberté, soit réalisée.</w:t>
      </w:r>
    </w:p>
    <w:p>
      <w:r>
        <w:rPr>
          <w:b/>
        </w:rPr>
        <w:t>E. 4.1</w:t>
      </w:r>
    </w:p>
    <w:p>
      <w:r>
        <w:t>Les conditions auxquelles un condamné à vie ayant commis de nombreux crimes très graves peut être libéré conditionnellement ont été exposés dans l' ATF 125 IV 113 consid. 2, soit dans l'arrêt 6A.44/1999 déjà rendu dans la présente cause (cf. supra, let. B al. 2), auquel on peut donc se référer. Il suffit ici de rappeler que la possibilité d'émettre un pronostic favorable quant à la conduite future de l'intéressé en liberté constitue une condition essentielle de l'octroi de la libération conditionnelle et qu'il se justifie de faire preuve d'une exigence accrue lorsqu'il s'agit de libérer conditionnellement un condamné à vie ayant commis de nombreux crimes très graves. En pareil cas, la libération conditionnelle ne peut être envisagée que si une expertise psychiatrique, émanant d'un expert neutre, a permis d'établir que le danger spécifique révélé par les actes qui sont à l'origine de la condamnation n'existe plus ( ATF 125 IV 113 consid. 2 p. 115 ss).</w:t>
      </w:r>
    </w:p>
    <w:p>
      <w:r>
        <w:rPr>
          <w:b/>
        </w:rPr>
        <w:t>E. 4.2</w:t>
      </w:r>
    </w:p>
    <w:p>
      <w:r>
        <w:t>Au vu de cette jurisprudence, est déterminante en l'espèce la question de savoir si, depuis l'expertise A.________ du 6 juillet 2000, selon laquelle un risque de récidive subsistait, il est possible d'admettre, sur la base d'un nouvel avis médical, que ce risque a clairement et notablement diminué, au point qu'il puisse être considéré comme infime, voire inexistant. Or, le rapport B.________ du 19 juin 2003 ne permet pas de retenir une telle diminution du risque de récidive, dont l'arrêt attaqué ne constate d'ailleurs pas qu'il se serait considérablement réduit depuis l'expertise A.________. Le rapport B.________ rappelle en effet les constatations médicales faites quant à l'état psychique et comportemental de l'intimé depuis 1992 jusqu'en 2003 et en conclut que l'on observe ainsi chez celui-ci "une évolution favorable de l'état psychique et comportemental ... depuis 20 ans", se traduisant par une maturation psychologique, une maîtrise de soi sans recours à des provocations et à des menaces, une absence d'impulsivité dans les situations de groupe et en entretien individuel et une "élaboration intrapsychique sur le plan de son image de soi autour de ses relations familiales, relation d'amitié personnelle et compétences professionnelles". Il ne constate en revanche pas de diminution nette du risque de récidive depuis l'expertise A.________, qu'il n'évoque même pas. En définitive, le rapport B.________, dressant un bilan de l'évolution de l'intimé depuis vingt ans, l'estime globalement positive, sur la base d'éléments qui dénotent certes des améliorations sur le plan psychique et comportemental, mais qui sont manifestement insuffisants pour que l'on puisse conclure que le risque de récidive - qui subsistait en juillet 2000 - a clairement et notablement diminué, au point que l'on puisse admettre que ce risque est désormais infime, voire inexistant. Dans ces conditions, l'arrêt attaqué ne pouvait admettre qu'un pronostic favorable peut désormais être posé quant au comportement futur de l'intimé en liberté et, partant, que les conditions de l' art. 38 ch. 1 CP sont réalisées. Même si elles ont été perpétrées entre 1981 et 1987 et remontent donc à plus de quinze ans, voire de vingt ans, les nombreuses infractions commises par l'intimé sont d'une extrême gravité. En juillet 2000 encore, l'expertise A.________ admettait qu'il subsistait un risque de récidive, notamment de commission de nouveaux actes de violence, donc d'atteintes à des biens juridiques importants. En pareil cas, il est justifié de se montrer strict lorsqu'il s'agit de déterminer si l'on peut prendre le risque d'une libération conditionnelle, compte tenu des conséquences très graves qui résulteraient d'une récidive, et, partant, de n'accorder la libération conditionnelle qu'aux conditions posées dans l' ATF 125 IV 113 précité. Il doit donc être clair que l'intimé ne saurait être libéré conditionnellement aussi longtemps qu'on ne dispose pas d'une expertise psychiatrique, émanant d'un expert neutre et expérimenté, qui constate que le danger spécifique révélé par les actes réprimés n'existe plus. En l'espèce et en l'état, ces conditions ne sont manifestement pas réalisées. Le rapport médical sur lequel se fonde l'arrêt attaqué est clairement insuffisant à le faire admettre. On peut au demeurant s'interroger sur la neutralité de l'expert lorsque l'on constate que, sur requête de la mandataire de l'intimé, qui lui a remis une copie du présent recours, il lui a adressé de nouveaux rapports, dans lesquels il défend son point de vue et critique le recours avec une certaine véhémence. Enfin, on peut s'étonner que l'autorité cantonale ait choisi de désigner comme expert le médecin-chef de la division de médecine pénitentiaire, qui a été amené à suivre l'évolution de l'intimé depuis 1982. A cet égard, il apparaît opportun de rappeler que, conformément à l' ATF 125 IV 113 , l'expertise devrait dans toute la mesure du possible être confiée à un expert qui n'ait pas été amené auparavant à traiter ou à examiner le cas de l'intimé (cf. ATF 125 IV 113 consid. 2b p. 117). Au vu de ce qui précède, l'arrêt attaqué viole le droit fédéral en tant qu'il accorde la libération conditionnelle à l'intimé.</w:t>
      </w:r>
    </w:p>
    <w:p>
      <w:r>
        <w:rPr>
          <w:b/>
        </w:rPr>
        <w:t>E. 4.3</w:t>
      </w:r>
    </w:p>
    <w:p>
      <w:r>
        <w:t>Dans sa réponse, l'intimé objecte vainement que le principe de la confiance et l'interdiction des traitements inhumains et dégradants consacré par l' art. 3 CEDH s'opposent à ce que l'on revienne sur l'octroi d'une libération conditionnelle qu'il pouvait tenir pour acquise à l'échéance du délai de recours contre l'arrêt attaqué. L'arrêt attaqué accorde la libération conditionnelle à l'intimé sous réserve d'un recours déposé en temps utile à son encontre. Ce n'est donc qu'à cette condition que l'intimé pouvait tenir sa libération pour acquise. Or, même s'il a été déposé plus de trente jours après la communication de l'arrêt attaqué aux autres destinataires, le présent recours a été formé, par une autorité habilitée à le faire en vertu de la loi, dans les trente jours dès sa notification à cette autorité et, partant, en temps utile (cf. supra, consid. 1). Au demeurant, sous réserve d'un recours, la libération conditionnelle était accordée à l'intimé pour le 29 octobre 2003 et, comme cela ressort d'une lettre datée du 20 octobre 2003 que sa mandataire a adressée au Tribunal fédéral, l'intimé a su à cette date au plus tard que l'arrêt attaqué était frappé d'un recours. Dans ces conditions, l'intimé ne peut se prévaloir du principe de la confiance pour s'opposer au réexamen de l'arrêt attaqué. Pour le surplus, il est manifeste que la déception que peut éprouver le recourant du fait que la libération conditionnelle que lui accorde l'arrêt attaqué doit, sur recours, lui être refusée, parce qu'elle viole le droit fédéral, n'est pas assimilable à un traitement inhumain ou dégradant prohibé par l' art. 3 CEDH (cf. ATF 124 I 231 consid. 2b p. 236).</w:t>
      </w:r>
    </w:p>
    <w:p>
      <w:r>
        <w:rPr>
          <w:b/>
        </w:rPr>
        <w:t>E. 5</w:t>
      </w:r>
    </w:p>
    <w:p>
      <w:r>
        <w:t>Le recours doit ainsi être admis et l'arrêt attaqué annulé. En pareil cas, le Tribunal fédéral peut soit statuer lui-même sur le fond, soit renvoyer la cause pour nouvelle décision à l'autorité inférieure, voire à l'autorité qui a statué en première instance ( art. 114 al. 2 OJ ). En l'espèce, il résulte du considérant qui précède qu'un pronostic favorable quant au comportement de l'intimé en liberté ne peut en l'état être posé, de sorte que sa requête de libération conditionnelle devait être écartée, en confirmation de la décision de première instance. Comme le recourant conclut à la confirmation de cette décision, il se justifie de renoncer à un renvoi qui constituerait un inutile détour procédural et de prononcer immédiatement le rejet de la requête de libération conditionnelle de l'intimé.</w:t>
      </w:r>
    </w:p>
    <w:p>
      <w:r>
        <w:rPr>
          <w:b/>
        </w:rPr>
        <w:t>E. 6</w:t>
      </w:r>
    </w:p>
    <w:p>
      <w:r>
        <w:t>L'arrêt attaqué a mis l'intimé en situation de devoir se défendre. Comme son indigence est au reste suffisamment établi, il se justifie d'admettre sa requête d'assistance judiciaire ( art. 152 al. 1 OJ ). En conséquence, il n'aura pas à supporter de frais et une indemnité sera allouée à sa mandataire. Il n'y a pas non plus lieu de mettre des frais à la charge du canton de Genève ( art. 156 al. 2 OJ ) ni d'allouer des dépens à l'autorité recourante ( art. 159 al. 2 OJ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