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6A.64/2006 vom 20. März 2007</w:t>
      </w:r>
    </w:p>
    <w:p>
      <w:r>
        <w:t>Bundesgericht, 2007-03-20, DE</w:t>
      </w:r>
    </w:p>
    <w:p>
      <w:r>
        <w:rPr>
          <w:b/>
        </w:rPr>
        <w:t xml:space="preserve">Quelle: </w:t>
      </w:r>
      <w:r>
        <w:t>https://mcp.opencaselaw.ch/entscheid/bger_6A.64_2006</w:t>
      </w:r>
    </w:p>
    <w:p>
      <w:r>
        <w:t>FR: TF 6A.64/2006 du 20 mars 2007</w:t>
      </w:r>
    </w:p>
    <w:p>
      <w:r>
        <w:t>IT: TF 6A.64/2006 del 20 marzo 2007</w:t>
      </w:r>
    </w:p>
    <w:p>
      <w:pPr>
        <w:pStyle w:val="Heading2"/>
      </w:pPr>
      <w:r>
        <w:t>Regeste</w:t>
      </w:r>
    </w:p>
    <w:p>
      <w:r>
        <w:t>Entzug des Führerausweises | Strassenbau und Strassenverkehr</w:t>
      </w:r>
    </w:p>
    <w:p>
      <w:pPr>
        <w:pStyle w:val="Heading2"/>
      </w:pPr>
      <w:r>
        <w:t>Erwägungen</w:t>
      </w:r>
    </w:p>
    <w:p>
      <w:r>
        <w:rPr>
          <w:b/>
        </w:rPr>
        <w:t>E. 1</w:t>
      </w:r>
    </w:p>
    <w:p>
      <w:r>
        <w:t>Das angefochtene Urteil ist am 31. Mai 2006 und damit vor dem Inkrafttreten des Bundesgesetzes über das Bundesgericht vom 17. Juni 2005 (Bundesgerichtsgesetz, BGG; SR 173.110) am 1. Januar 2007 ergangen. Das Beschwerdeverfahren richtet sich nach dem bisherigen Recht ( Art. 97 ff. OG ; Art. 132 Abs. 1 BGG , e contrario).</w:t>
      </w:r>
    </w:p>
    <w:p>
      <w:r>
        <w:rPr>
          <w:b/>
        </w:rPr>
        <w:t>E. 2</w:t>
      </w:r>
    </w:p>
    <w:p>
      <w:r>
        <w:t>Der Beschwerdeführer macht geltend, die Vorinstanz nehme bundesrechtswidrig an, eine einfache abstrakte Gefährdung genüge für einen Ausweisentzug.</w:t>
      </w:r>
    </w:p>
    <w:p>
      <w:r>
        <w:rPr>
          <w:b/>
        </w:rPr>
        <w:t>E. 2.1</w:t>
      </w:r>
    </w:p>
    <w:p>
      <w:r>
        <w:t>Die Verwaltungsbehörde hat auf die Tatsachen im Strafurteil abzustellen, wenn dieses im ordentlichen Verfahren ergangen ist, es sei denn, es bestünden klare Anhaltspunkte für die Unrichtigkeit dieser Tatsachenfeststellung; in diesem Fall hat sie nötigenfalls selbständige Beweiserhebungen durchzuführen ( BGE 124 II 103 E. 1c/aa). Sie ist bei der rechtlichen Würdigung des Sachverhalts grundsätzlich nicht an das Urteil des Strafgerichts gebunden. Anders kann es sich verhalten, wenn die rechtliche Würdigung sehr stark von der Würdigung von Tatsachen abhängt, die das Strafgericht besser kennt als die Verwaltungsbehörde, was der Fall sein kann, wenn es den Beschuldigten persönlich einvernommen hat ( BGE 104 Ib 358 E. 3). Diesfalls kann die Verwaltungsbehörde auch an die rechtliche Qualifikation des Sachverhalts gebunden sein ( BGE 124 II 103 E. 1c/bb; 119 Ib 158 E. 3c/bb; 102 Ib 193 E. 3).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 BGE 102 Ib 193 E. 3). Nach der Rechtsprechung entspricht aber eine grobe Verkehrsregelverletzung im Sinne von Art. 90 Ziff. 2 SVG einer schweren Widerhandlung nach Art. 16c SVG ( BGE 132 II 234 E. 3.1 und 3.2). Der Entscheid über die Schwere einer Verkehrsgefährdung ist eine Frage der rechtlichen Würdigung des Sachverhalts.</w:t>
      </w:r>
    </w:p>
    <w:p>
      <w:r>
        <w:rPr>
          <w:b/>
        </w:rPr>
        <w:t>E. 2.2</w:t>
      </w:r>
    </w:p>
    <w:p>
      <w:r>
        <w:t>Die Vorinstanz sieht sich auch bezüglich der Rechtsanwendung grundsätzlich an das Strafurteil gebunden (mit Hinweis auf BGE 119 Ib 158 ). Sie führt aus, das Strafgericht habe angenommen, der Beschwerdeführer habe eine wichtige Verkehrsregel verletzt, ein rücksichtsloses oder sonst schwerwiegendes regelwidriges Verhalten, also ein schweres Verschulden, könne ihm hingegen nicht nachgewiesen werden. Eine konkrete Gefährdung anderer Verkehrsteilnehmer habe zu keinem Zeitpunkt bestanden. Eine erhöhte abstrakte Gefahr liege angesichts der konkreten Situation ebenfalls nicht vor. Der Beschwerdeführer habe sein Manöver vorsichtig durchgeführt und sich vergewissert, dass die Fahrbahn frei von Fahrzeugen gewesen sei. Es habe kaum Verkehr geherrscht. Andererseits nimmt die Vorinstanz an, gemäss Art. 36 Abs. 1 VRV (SR 741.11) sei das Abbiegen auf Autobahnen nur an den dafür gekennzeichneten Stellen gestattet. Wenden und Rückwärtsfahren seien untersagt. Der Beschwerdeführer habe durch seine Fahrweise eine mindestens abstrakte Gefährdung anderer Verkehrsteilnehmer geschaffen, welche nicht als leicht qualifiziert werden könne. Er habe vorsätzlich, zumindest eventualvorsätzlich, gehandelt, weshalb sein Verschulden als mittelschwer zu bezeichnen sei.</w:t>
      </w:r>
    </w:p>
    <w:p>
      <w:r>
        <w:rPr>
          <w:b/>
        </w:rPr>
        <w:t>E. 2.3</w:t>
      </w:r>
    </w:p>
    <w:p>
      <w:r>
        <w:t>Ein Führerausweisentzug nach leichter ( Art. 16a SVG ), mittelschwerer ( Art. 16b SVG ) oder nach schwerer Widerhandlung ( Art. 16c SVG ) setzt eine konkrete oder jedenfalls erhöhte abstrakte Gefährdung anderer Personen voraus. Die abstrakte Gefährdung als solche reicht nicht aus. Eine erhöhte abstrakte Gefahr setzt die naheliegende Möglichkeit einer konkreten Gefährdung oder Verletzung voraus (BGE 6A.19/2006 vom 16. Mai 2006, E. 2 mit Hinweis auf BGE 131 IV 133 E. 3.2). In der zu beurteilenden Sache hat das Strafgericht eine erhöhte abstrakte Gefährdung verneint. Die Vorinstanz sieht sich zwar an das strafgerichtliche Erkenntnis gebunden und geht ebenfalls von einer bloss abstrakten Gefährdung anderer aus. Ob eine abstrakte oder eine erhöhte abstrakte Gefährdung vorliegt, ist aber Rechtsfrage. Die zu einer Bindung der Verwaltungsbehörde verpflichtende enge Verknüpfung von Sachverhaltsfeststellung und Rechtsanwendung ist hier nicht gegeben (vgl. BGE 102 Ib 193 E. 3c). In tatsächlicher Hinsicht ist von den strafgerichtlichen Feststellungen auszugehen. Wenn das Strafgericht feststellte, der Beschwerdeführer habe sein Manöver sehr vorsichtig durchgeführt, die Fahrbahn habe über mehrere hundert Meter überblickt werden können und es habe "zur Tatzeit kaum Verkehr" geherrscht, so verneint es damit nicht einen Verkehr überhaupt. Auch wer unter günstigsten Umständen auf der Autobahn rückwärts fährt, um eine verpasste Ausfahrt noch befahren zu können, ruft objektiv mindestens eine erhöhte abstrakte Gefahr für die Sicherheit anderer hervor. Eine mittelschwere Widerhandlung, die nach der gesetzlichen Konzeption als Auffangtatbestand ausgestaltet ist, liegt immer vor, wenn nicht alle privilegierenden Elemente einer leichten und nicht alle qualifizierenden Elemente einer schweren Widerhandlung gegeben sind (Botschaft zur Änderung des Strassenverkehrsgesetzes vom 31. März 1999, BBl 1999 4462, 4487). Die Vorinstanz nimmt zutreffend an, dass das Verhalten administrativrechtlich nicht als leichte Widerhandlung im Sinne von Art. 16a Abs. 1 lit. a SVG (und um so weniger als besonders leicht im Sinne von Art. 16a Abs. 4 SVG ) qualifiziert werden kann. Die Qualifikation als leicht ist nur unter den kumulativen Voraussetzungen möglich, dass durch die Verletzung der Verkehrsregeln eine geringe Gefahr für die Sicherheit anderer hervorgerufen wird und den Lenker dabei nur ein leichtes Verschulden trifft. Das ist hier nicht der Fall. Infolge des Verschlechterungsverbots ist eine schwere Widerhandlung nach Art. 16c SVG nicht mehr zu prüfen, so dass diese Frage offen bleiben kann und es beim Führerausweisentzug nach mittelschwerer Widerhandlung gemäss Art. 16b Abs. 1 lit. a SVG sein Bewenden hat.</w:t>
      </w:r>
    </w:p>
    <w:p>
      <w:r>
        <w:rPr>
          <w:b/>
        </w:rPr>
        <w:t>E. 2.4</w:t>
      </w:r>
    </w:p>
    <w:p>
      <w:r>
        <w:t>Die Entzugsdauer wurde unter Beurteilung der Umstände ( Art. 16 Abs. 3 SVG ) nach Massgabe des Strafurteils auf einen Monat festgesetzt. Diese Mindestentzugsdauer ( Art. 16b Abs. 2 lit. a SVG ), darf nicht unterschritten werden ( Art. 16 Abs. 3 SVG ; BGE 132 II 234 E. 3.2).</w:t>
      </w:r>
    </w:p>
    <w:p>
      <w:r>
        <w:rPr>
          <w:b/>
        </w:rPr>
        <w:t>E. 3</w:t>
      </w:r>
    </w:p>
    <w:p>
      <w:r>
        <w:t>Bei diesem Verfahrensausgang ist auf die übrigen Anträge des Beschwerdeführers nicht mehr einzutreten. Die Beschwerde ist kostenpflichtig ( Art. 156 Abs. 1 OG )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