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6A.57/2001 vom 16. August 2001</w:t>
      </w:r>
    </w:p>
    <w:p>
      <w:r>
        <w:t>Bundesgericht, 2001-08-16, DE</w:t>
      </w:r>
    </w:p>
    <w:p>
      <w:r>
        <w:rPr>
          <w:b/>
        </w:rPr>
        <w:t xml:space="preserve">Quelle: </w:t>
      </w:r>
      <w:r>
        <w:t>https://mcp.opencaselaw.ch/entscheid/bger_6A.57_2001</w:t>
      </w:r>
    </w:p>
    <w:p>
      <w:r>
        <w:t>FR: TF 6A.57/2001 du 16 août 2001</w:t>
      </w:r>
    </w:p>
    <w:p>
      <w:r>
        <w:t>IT: TF 6A.57/2001 del 16 agosto 2001</w:t>
      </w:r>
    </w:p>
    <w:p>
      <w:pPr>
        <w:pStyle w:val="Heading2"/>
      </w:pPr>
      <w:r>
        <w:t>Regeste</w:t>
      </w:r>
    </w:p>
    <w:p>
      <w:r>
        <w:t>Strassenbau und Strassenverkehr</w:t>
      </w:r>
    </w:p>
    <w:p>
      <w:pPr>
        <w:pStyle w:val="Heading2"/>
      </w:pPr>
      <w:r>
        <w:t>Erwägungen</w:t>
      </w:r>
    </w:p>
    <w:p>
      <w:r>
        <w:rPr>
          <w:b/>
        </w:rPr>
        <w:t>E. 1</w:t>
      </w:r>
    </w:p>
    <w:p>
      <w:r>
        <w:t>a) Letztinstanzliche kantonale Entscheide über Führerausweisentzüge unterliegen der Verwaltungsgerichtsbeschwerde an das Bundesgericht ( Art. 24 Abs. 2 SVG ). Das ASTRA ist zur Beschwerde legitimiert ( Art. 24 Abs. 5 lit. c SVG ). b) Der Beschwerdeführer beantragt eine verkehrspsychologische Abklärung und stellt damit ein neues und weitergehendes Rechtsbegehren. Dies ist zulässig. Denn auf Antrag der zuständigen Bundesbehörde, welche im Hinblick auf die Gewährleistung der einheitlichen Anwendung von Bundesrecht zur Beschwerde befugt ist, kann das Bundesgericht ohne Rücksicht auf kantonale Bestimmungen über die reformatio in peius den angefochtenen Entscheid auch zum Nachteil des Betroffenen ändern ( BGE 125 II 396 E. 1; 102 Ib 282 E. 2 - 4). c) 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 Stande gekommen ist ( Art. 105 Abs. 2 OG ). Damit bleiben die Vorbringen des Beschwerdegegners zur grosszügigen Ausgestaltung der Sihltalstrecke in Horgen sowie zu seiner Annahme, welches beim ersten Vorfall die signalisierte Höchstgeschwindigkeit gewesen sei, unberücksichtigt.</w:t>
      </w:r>
    </w:p>
    <w:p>
      <w:r>
        <w:rPr>
          <w:b/>
        </w:rPr>
        <w:t>E. 2</w:t>
      </w:r>
    </w:p>
    <w:p>
      <w:r>
        <w:t>a) Der Beschwerdeführer macht geltend, der Beschwerdegegner habe nur elf Monate nach einer erheblichen Geschwindigkeitsüberschreitung innerorts eine Sicherheitslinie missachtet, um ein anderes Fahrzeug zu überholen. Gut zwei Wochen später habe er den Verkehr erneut in schwerer Weise gefährdet, indem er erheblich betrunken mit einem Motorfahrzeug einen Selbstunfall verursacht habe. Mindestens bei den zwei letzten Widerhandlungen treffe ihn ein schweres Verschulden. Die Art dieser Vorkommnisse, die zunehmende Schwere und die kurzen zeitlichen Abstände, in denen sie erfolgten, hätten bei der Vorinstanz erhebliche Zweifel wecken müssen, ob der Beschwerdegegner Gewähr dafür biete, dass er in Zukunft die Vorschriften beachte und auf die Mitmenschen Rücksicht nehmen werde. Infolgedessen hätte sie ein verkehrspsychologisches oder ein psychiatrisches Gutachten nach Art. 9 Abs. 1 VZV anordnen müssen. b) Die Vorinstanz weist auf das schwere Verschulden des Beschwerdegegners hin, welches im Zusammentreffen mehrerer Verkehrsregelverletzungen liege. Der getrübte automobilistische Leumund sei massnahmeverschärfend zu würdigen. Insgesamt dränge sich eine Erhöhung der Mindestentzugsdauer von zwei Monaten ( Art. 17 Abs. 1 lit. b SVG ) auf. Die Aberkennung des Ausweises für sechs Monate sei im konkreten Fall angemessen. Der Umstand, dass der Beschwerdegegner Berufsfussballer sei, lasse vorliegend noch nicht auf eine gesteigerte Massnahmeempfindlichkeit schliessen. c) Der Beschwerdegegner betont demgegenüber, dass die Vorinstanz zu Recht von der Anordnung eines verkehrspsychologischen Gutachtens abgesehen habe. Es bestünden keine Zweifel an seiner charakterlichen Befähigung, ein Fahrzeug zu lenken. Bei den drei Vorfällen handle es sich bloss um fahrlässige Verkehrsregelverletzungen, wobei der Letzte am schwersten wiege.</w:t>
      </w:r>
    </w:p>
    <w:p>
      <w:r>
        <w:rPr>
          <w:b/>
        </w:rPr>
        <w:t>E. 3</w:t>
      </w:r>
    </w:p>
    <w:p>
      <w:r>
        <w:t>a) Der Führerausweis ist zu entziehen, wenn festgestellt wird, dass die gesetzlichen Voraussetzungen zur Erteilung nicht oder nicht mehr bestehen ( Art. 16 Abs. 1 SVG ). Der Sicherungsentzug bezweckt den Schutz des Verkehrs vor ungeeigneten Lenkern ( Art. 30 Abs. 1 VZV ). Er wird auf unbestimmte Zeit verfügt; vor Ablauf der Probezeit von mindestens einem Jahr darf der Führerausweis nicht wieder ausgehändigt werden ( Art. 17 Abs. 1bis SVG ; Art. 33 Abs. 1 VZV ; BGE 126 II 185 E. 2a). Demgegenüber dient der Warnungsentzug der Besserung des Führers und der Bekämpfung von Rückfällen ( Art. 30 Abs. 2 VZV ). Seine Dauer richtet sich nach der Schwere des Verschuldens, dem Leumund des Lenkers und der beruflichen Notwendigkeit, ein Fahrzeug zu führen ( Art. 17 Abs. 1 SVG ; Art. 33 Abs. 2 VZV ; 126 II 196 E. 2; 202 E. 1a/b). b) Der Sicherungsentzug infolge charakterlicher Nichteignung ist angezeigt, wenn das bisherige Verhalten des Fahrzeuglenkers keine Gewähr bietet, dass er künftig die Verkehrsregeln beachtet und auf die Mitmenschen Rücksicht nimmt. Die Prognose ist anhand der Art und der Anzahl bereits begangener Verkehrsdelikte und der persönlichen Umstände zu stellen. Der Sicherungsentzug greift tief in den Persönlichkeitsbereich ein, weshalb eine sorgfältige Abklärung der massgeblichen Elemente vorzunehmen ist; in Zweifelsfällen ist ein verkehrspsychologisches oder ein psychiatrisches Gutachten anzuordnen ( Art. 9 VZV ; BGE 125 II 492 E. 2a). Bis zur Abklärung von Ausschlussgründen kann der Führerausweis sofort vorsorglich entzogen werden ( Art. 35 Abs. 3 VZV ).</w:t>
      </w:r>
    </w:p>
    <w:p>
      <w:r>
        <w:rPr>
          <w:b/>
        </w:rPr>
        <w:t>E. 4</w:t>
      </w:r>
    </w:p>
    <w:p>
      <w:r>
        <w:t>a) Die Vorinstanz sieht die Voraussetzungen für einen Warnungsentzug von sechs Monaten als gegeben. Ob überdies die Voraussetzungen für einen Sicherungsentzug erfüllt sind, haben die kantonalen Behörden nicht geprüft. Der diesbezügliche Einwand des ASTRA erfolgt somit nicht ohne Grund. Es fällt auf, dass der Beschwerdegegner nach einer Verwarnung wegen Überschreitens der signalisierten Höchstgeschwindigkeit innerorts weniger als ein Jahr später auf einer Strecke von 150 m eine Sicherheitslinie missachtete, um ein Überholmanöver auszuführen. Ungeachtet der Meldung an die Strafbehörden lenkte er bereits zwei Wochen später ein Fahrzeug in erheblich alkoholisiertem Zustand. Die kurzen Abstände der Verkehrsverletzungen und das wenigstens in den zwei letzten Fällen schwere Verschulden wecken Zweifel an den charakterlichen Fähigkeiten des Beschwerdegegners, ein Fahrzeug zu lenken. Der Beschwerdeführer weist in diesem Zusammenhang auf den Leitfaden 'Verdachtsgründe fehlender Fahreignung' der Expertengruppe Verkehrssicherheit des Eidgenössischen Departementes für Umwelt, Verkehr, Energie und Kommunikation vom 26. April 2000 hin. Danach begründen die polizeiliche Registrierung von drei Unfällen oder Verletzungen von Verkehrsregeln innerhalb zweier Jahre den Verdacht auf mangelnde Fahreignung, wenn die Vorfälle zu einer Administrativmassnahme führen. Zwar sind diese Richtlinien für die Verwaltungs- und Gerichtsbehörden nicht verbindlich. Indessen geben sie Hinweise auf auffällige Verhaltensweisen im Verkehr, die im Hinblick auf die Fahreignungsprüfung dienlich sein können. Die in dem Leitfaden genannten Voraussetzungen sind vorliegend erfüllt, auch wenn es in Bezug auf den zweiten Vorfall (Missachten der Sicherheitslinie) noch nicht zu einer Administrativmassnahme gekommen war, als der Beschwerdegegner in alkoholisiertem Zustand sein Fahrzeug lenkte und einen Selbstunfall verursachte. Entscheidend fällt ins Gewicht, dass der Beschwerdegegner sich der Gefährdung des Strassenverkehrs durch seine Verkehrsregelverletzungen offenbar nicht bewusst ist. Wie die Vorinstanz zu Recht betont, ist eine nächtliche Trunkenheitsfahrt nicht weniger gefährlich als am Tag, nur weil das Verkehrsaufkommen geringer ist. Auch die Missachtung einer Sicherheitslinie über eine längere Strecke ist nicht zu bagatellisieren. Dem Beschwerdegegner kann nicht beigepflichtet werden, wenn er die in Frage stehenden Vorfälle lediglich als fahrlässige Missachtung von Verkehrsregeln versteht. b) Nach dem Gesagten erweisen sich die Abklärungen der kantonalen Instanzen als unvollständig. Dies gilt umso mehr, als der Beschwerdegegner Inhaber eines internationalen, nicht aber eines schweizerischen Führerausweises ist. Auf dem Hintergrund der drei Vorfälle wären die kantonalen Behörden verpflichtet gewesen abzuklären, ob sich der Beschwerdegegner der Anforderungen, die an einen Fahrzeuglenker in der Schweiz gestellt werden, bewusst ist und ob er die Voraussetzungen, an welche der Erwerb des Führerausweises in der Schweiz geknüpft ist, überhaupt erfüllt. Dies führt, wenn das Bundesgericht nicht selbst in der Sache entscheidet, zur Aufhebung und Rückweisung der Sache an die Vorinstanz ( Art. 114 Abs. 2 OG ). Hat diese als Beschwerdeinstanz entschieden, so kann das Bundesgericht die Sache auch an die erstinstanzliche Behörde zurückweisen. Vorliegend drängt sich die Rückweisung der Sache an das Strassenverkehrsamt auf, das in erster Linie zur Einholung eines verkehrspsychologischen Gutachtens verpflichtet gewesen wäre. Dabei liegt es im Ermessen dieser Behörde, allenfalls vorsorglich einen sofortigen Entzug des Führerausweises bis zur Abklärung von Ausschlussgründen anzuordnen ( Art. 35 Abs. 3 VZV ; BGE 126 II 361 E. 3d), wobei zu beachten ist, dass es ohnehin bei einem Warnungsentzug von sechs Monaten bleibt, falls nicht auf Grund der weiteren Abklärungen ein weitergehender Sicherungsentzug angeordnet werden sollte. Die vom Beschwerdeführer beantragte Auflage erübrigt sich damit, was vom Bundesgericht schon mehrfach festgehalten worden ist.</w:t>
      </w:r>
    </w:p>
    <w:p>
      <w:r>
        <w:rPr>
          <w:b/>
        </w:rPr>
        <w:t>E. 5</w:t>
      </w:r>
    </w:p>
    <w:p>
      <w:r>
        <w:t>Die Beschwerde erweist sich demnach als begründet. Ungeachtet des Verfahrensausgangs sind keine Kosten zu erheben ( Art. 156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