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6A.50/2003 vom 3. September 2003</w:t>
      </w:r>
    </w:p>
    <w:p>
      <w:r>
        <w:t>Bundesgericht, 2003-09-03, DE</w:t>
      </w:r>
    </w:p>
    <w:p>
      <w:r>
        <w:rPr>
          <w:b/>
        </w:rPr>
        <w:t xml:space="preserve">Quelle: </w:t>
      </w:r>
      <w:r>
        <w:t>https://mcp.opencaselaw.ch/entscheid/bger_6A.50_2003</w:t>
      </w:r>
    </w:p>
    <w:p>
      <w:r>
        <w:t>FR: TF 6A.50/2003 du 3 septembre 2003</w:t>
      </w:r>
    </w:p>
    <w:p>
      <w:r>
        <w:t>IT: TF 6A.50/2003 del 3 settembre 2003</w:t>
      </w:r>
    </w:p>
    <w:p>
      <w:pPr>
        <w:pStyle w:val="Heading2"/>
      </w:pPr>
      <w:r>
        <w:t>Regeste</w:t>
      </w:r>
    </w:p>
    <w:p>
      <w:r>
        <w:t>Strassenbau und Strassenverkehr</w:t>
      </w:r>
    </w:p>
    <w:p>
      <w:pPr>
        <w:pStyle w:val="Heading2"/>
      </w:pPr>
      <w:r>
        <w:t>Erwägungen</w:t>
      </w:r>
    </w:p>
    <w:p>
      <w:r>
        <w:rPr>
          <w:b/>
        </w:rPr>
        <w:t>E. 1</w:t>
      </w:r>
    </w:p>
    <w:p>
      <w:r>
        <w:t>Die angefochtene Verfügung stellt einen Zwischenentscheid dar. Gegen einen solchen ist nach Art. 97 Abs. 1 OG in Verbindung mit Art. 45 Abs. 1 VwVG die Verwaltungsgerichtsbeschwerde nur zulässig, wenn er einen nicht wieder gutzumachenden Nachteil bewirken kann. Dieser Nachteil muss nicht rechtlicher Natur sein, sondern es genügt auch ein bloss wirtschaftliches Interesse an der Aufhebung des Zwischenentscheids, sofern mit der Beschwerdeerhebung nicht allein eine Verlängerung oder Verteuerung des Verfahrens verhindert werden soll ( BGE 120 Ib 97 E. 1c). Vorliegend hat die Verweigerung der aufschiebenden Wirkung für den Beschwerdeführer einen nicht wieder gutzumachenden Nachteil zur Folge, weil er mangels Führerausweis nicht mehr ein Motorfahrzeug führen könnte. Der Entscheid über die aufschiebende Wirkung im kantonalen Rechtsmittelverfahren gegen den Sicherungsentzug des Führerausweises kann nach der Rechtsprechung mit Verwaltungsgerichtsbeschwerde angefochten werden (Urteil des Bundesgerichts 6A.85/2002 vom 22. November 2002 E. 1.2). Auf die Beschwerde ist daher einzutreten.</w:t>
      </w:r>
    </w:p>
    <w:p>
      <w:r>
        <w:rPr>
          <w:b/>
        </w:rPr>
        <w:t>E. 2</w:t>
      </w:r>
    </w:p>
    <w:p>
      <w:r>
        <w:t>Der Abteilungspräsident hat die angefochtene Verfügung eingehend und überzeugend begründet. Er hat sich an den ihm im Rahmen einer Zwischenverfügung zukommenden Beurteilungsspielraum gehalten sowie die massgebenden Interessen berücksichtigt und zutreffend gewürdigt (dazu BGE 106 Ib 115 E. 2a; 125 II 492 E. 2b S. 496). Zutreffend erkennt er, dass hier keine besonderen Umstände vorliegen, die im Lichte der Rechtsprechung ausnahmsweise die Gewährung der aufschiebenden Wirkung rechtfertigen könnten (vgl. BGE 122 II 359 E. 3a 107 Ib 395 E. 2a 106 Ib 115 E. 2b). Es liegen sodann hinreichend begründete Anhaltspunkte dafür vor, dass der Beschwerdeführer keine Gewähr für einen verantwortungsbewussten Umgang mit Alkohol in Bezug auf den Strassenverkehr bietet. Gegen ihn wurden seit 1974 zahlreiche Administrativmassnahmen verhängt. Die ihnen zu Grunde liegenden Vorfälle wogen teilweise schwer. Drei Mal wurde ihm der Führerausweis wegen Fahrens in angetrunkenem Zustand entzogen, letztmals im Jahre 1992. Auch wenn dies bereits längere Zeit zurückliegt, ist der Entscheid des Abteilungspräsidenten angesichts des neuen Vorfalls und des Gutachtens, das dem Beschwerdeführer eine Alkoholproblematik attestiert, nicht zu beanstanden. Das Interesse an einem sofortigen Vollzug des Sicherungsentzugs ist hier gegeben und verdient angesichts der erwähnten Umstände den Vorrang gegenüber den Interessen des Beschwerdeführers, bis zum Entscheid in der Sache zum Strassenverkehr zugelassen zu bleiben. Für Einzelheiten kann auf die Erwägungen in der angefochtenen Verfügung verwiesen werden.</w:t>
      </w:r>
    </w:p>
    <w:p>
      <w:r>
        <w:rPr>
          <w:b/>
        </w:rPr>
        <w:t>E. 3</w:t>
      </w:r>
    </w:p>
    <w:p>
      <w:r>
        <w:t>Die Beschwerde ist daher abzuweisen. Bei diesem Ausgang des Verfahrens trägt der Beschwerdeführer die Kosten ( Art. 156 Abs. 1 OG ). Mit dem Entscheid in der Sache ist das Gesuch, der Verwaltungsgerichtsbeschwerde aufschiebende Wirkung zu erteilen,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