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6A.3/2007 vom 15. März 2007</w:t>
      </w:r>
    </w:p>
    <w:p>
      <w:r>
        <w:t>Bundesgericht, 2007-03-15, DE</w:t>
      </w:r>
    </w:p>
    <w:p>
      <w:r>
        <w:rPr>
          <w:b/>
        </w:rPr>
        <w:t xml:space="preserve">Quelle: </w:t>
      </w:r>
      <w:r>
        <w:t>https://mcp.opencaselaw.ch/entscheid/bger_6A.3_2007</w:t>
      </w:r>
    </w:p>
    <w:p>
      <w:r>
        <w:t>FR: TF 6A.3/2007 du 15 mars 2007</w:t>
      </w:r>
    </w:p>
    <w:p>
      <w:r>
        <w:t>IT: TF 6A.3/2007 del 15 marzo 2007</w:t>
      </w:r>
    </w:p>
    <w:p>
      <w:pPr>
        <w:pStyle w:val="Heading2"/>
      </w:pPr>
      <w:r>
        <w:t>Erwägungen</w:t>
      </w:r>
    </w:p>
    <w:p>
      <w:r>
        <w:rPr>
          <w:b/>
        </w:rPr>
        <w:t>E. 1</w:t>
      </w:r>
    </w:p>
    <w:p>
      <w:r>
        <w:t>Der angefochtene Entscheid ist vor dem Inkrafttreten des Bundesgesetzes vom 17. Juni 2005 über das Bundesgericht (BGG) am 1. Januar 2007 ergangen. Auf das Rechtsmittel dagegen ist noch das bisherige Verfahrensrecht anwendbar ( Art. 132 Abs. 1 BGG , e contrario), hier somit dasjenige der Verwaltungsgerichtsbeschwerde gemäss Art. 97 ff. OG .</w:t>
      </w:r>
    </w:p>
    <w:p>
      <w:r>
        <w:rPr>
          <w:b/>
        </w:rPr>
        <w:t>E. 2.1</w:t>
      </w:r>
    </w:p>
    <w:p>
      <w:r>
        <w:t>Nach Art. 14 Abs. 2 lit. b SVG dürfen Führerausweise nicht erteilt werden, wenn der Bewerber nicht über eine körperliche und geistige Leistungsfähigkeit verfügt, die zum sicheren Führen von Motorfahrzeugen ausreicht. Bestehen Bedenken über die Eignung eines Führers, so ist er einer neuen Prüfung zu unterwerfen ( Art. 14 Abs. 3 SVG ). Jeder Arzt kann Personen, die wegen körperlicher oder geistiger Krankheiten oder Gebrechen wegen Süchte zur sicheren Führung von Motorfahrzeugen nicht fähig sind, der für die Erteilung und Entzug des Führerausweises zuständigen Behörde melden. Der Führerausweis wird einer Person entzogen, wenn ihre körperliche und geistige Leistungsfähigkeit nicht oder nicht mehr ausreicht, ein Motorfahrzeug sicher zu führen ( Art. 16d Abs. 1 lit. a SVG ). Die Verordnung vom 27. Oktober 1976 über die Zulassung von Personen und Fahrzeugen zum Strassenverkehr (Verkehrszulassungsverordnung, VZV; SR 741.51) sieht vor, dass über 70-jährige Ausweisinhaber sich alle zwei Jahren einer vertrauensärztlichen Kontrolluntersuchung unterziehen müssen ( Art. 27 Abs. 1 lit. b VZV ). Bestehen Bedenken über die Eignung eines Fahrzeugführers, so kann zur Abklärung der notwendigen Massnahme eine Kontrollfahrt angeordnet werden ( Art. 29 Abs. 1 VZV ). Besteht die betroffene Person die Kontrollfahrt nicht, wird der Führerausweis entzogen ( Art. 29 Abs. 2 lit. a VZV ); die Kontrollfahrt kann nicht wiederholt werden ( Art. 29 Abs. 3 VZV ).</w:t>
      </w:r>
    </w:p>
    <w:p>
      <w:r>
        <w:rPr>
          <w:b/>
        </w:rPr>
        <w:t>E. 2.2</w:t>
      </w:r>
    </w:p>
    <w:p>
      <w:r>
        <w:t>Art. 29 Abs. 1 VZV macht "Bedenken über die Eignung" zum Anlass für die Anordnung einer Kontrollfahrt. Das darf allerdings nicht dahin missverstanden werden, dass sich mit einer Kontrollfahrt die Fahreignung erschöpfend abklären liesse. Die Kontrollfahrt dient vielmehr der Abklärung, ob die betroffene Person über die erforderlichen Kenntnisse der Verkehrsregeln verfügt und ein Motorfahrzeug sicher zu führen versteht (vgl. Art. 44 Abs. 1 VZV ). Anlass zur Anordnung einer Kontrollfahrt geben in erster Linie Vorfälle, welche Zweifel am fahrerischen Können wecken (vgl. BGE 127 II 129 ). Bei einem älteren, auffälligen Lenker lässt sich mit der Kontrollfahrt namentlich abklären, ob seine Fahrtechnik den Anforderungen des heutigen Verkehrs (noch) genügt.</w:t>
      </w:r>
    </w:p>
    <w:p>
      <w:r>
        <w:t>Der Beschwerdeführer hat die Kontrollfahrt bestanden, womit erstellt ist, dass weder ungenügende Fahrtechnik noch mangelnde Kenntnis der Verkehrsregeln erfordern, ihm den Führerausweis zu entziehen. Der Beschwerdeführer wendet gegen eine weitere Kontrollfahrt mit Recht ein, dass es an einem neuerlichen Anlass zur Anordnung einer solchen fehlt. Dass der Verkehrsexperte eine weitere Kontrollfahrt nach einem Jahr für sinnvoll erachtet, kann nicht ausreichend sein, denn weder sehen Gesetz und Verordnung eine anlasslose regelmässig anzuordnende Kontrollfahrt bei älteren Personen vor, noch ist der Verkehrsexperte in der Lage, eine Prognose über die Entwicklung des fahrerischen Könnens abzugeben. Zutreffend ist höchstens, dass bei einer - auch bestandenen - Kontrollfahrt Hinweise auf Fahreignungsmängel auftreten können, die dann allerdings durch verkehrsmedizinische Begutachtung zu klären sind.</w:t>
      </w:r>
    </w:p>
    <w:p>
      <w:r>
        <w:rPr>
          <w:b/>
        </w:rPr>
        <w:t>E. 2.3</w:t>
      </w:r>
    </w:p>
    <w:p>
      <w:r>
        <w:t>Erweist sich die Beschwerde insoweit als begründet, so bleibt zu beachten, dass der Hausarzt sich nicht in der Lage sah, die "Fahrtauglichkeit" sicher zu beurteilen. Die gemäss Art. 27 Abs. 1 lit. b VZV bei über 70-jährigen Ausweisinhabern durchzuführende vertrauensärztliche Kontrolluntersuchung dient dazu, bei älteren Ausweisinhabern systematisch zu erheben, ob ihre Fahreignung als Grundbedingung für die Belassung des Führerausweises ( Art. 16d SVG ) noch fortbesteht. Da mit fortschreitendem Alter die Fahreignung, d.h. die allgemeinen psychischen und physischen Grundvoraussetzungen zum sicheren Lenken eines Motorfahrzeugs im Strassenverkehr, abnehmen können, sind diese Kontrolluntersuchungen ohne weiteres sachlich gerechtfertigt. Sie können im Einzelfall nach Art. 27 Abs. 3 VZV auch ausgedehnt werden, was hier angezeigt erscheint, da der Hausarzt sich nicht in der Lage sah, eine abschliessende Beurteilung abzugeben. Es erweist sich deshalb als notwendig, im Interesse der Sicherheit des Beschwerdeführers selbst und der übrigen Verkehrsteilnehmer, dem Antrag des Bundesamtes für Strassen entsprechend, eine verkehrsmedizinische Untersuchung bei einer Spezialuntersuchungsstelle anzuordnen.</w:t>
      </w:r>
    </w:p>
    <w:p>
      <w:r>
        <w:rPr>
          <w:b/>
        </w:rPr>
        <w:t>E. 3</w:t>
      </w:r>
    </w:p>
    <w:p>
      <w:r>
        <w:t>Die Verwaltungsgerichtsbeschwerde ist demnach teilweise gutzuheissen, das angefochtene Urteil des Verwaltungsgerichts aufzuheben und die Sache im genannten Sinne an das Strassenverkehrsamt des Kantons Aargau zurückzuweisen (vgl. Art. 114 Abs. 1 und 2 OG ).</w:t>
      </w:r>
    </w:p>
    <w:p>
      <w:r>
        <w:t>Entsprechend dem teilweisen Obsiegen und Unterliegen des Beschwerdeführers hat er eine reduzierte Gerichtsgebühr zu bezahlen ( Art. 156 Abs. 1 OG ) und ist er vom Kanton Aargau für das bundesgerichtliche Verfahren teilweise zu entschädigen ( Art. 159 Abs. 1 und 2 OG ). Das Bundesgericht kann auch die Kosten des kantonalen Verfahrens regeln ( Art. 157 OG ). Es rechtfertigt sich angesichts des Verfahrensausgangs vor Bundesgericht, dass der Beschwerdeführer im kantonalen Verfahren weder kostenpflichtig wird, noch ihm eine Parteientschädigung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