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6A.3/2002 vom 10. April 2002</w:t>
      </w:r>
    </w:p>
    <w:p>
      <w:r>
        <w:t>Bundesgericht, 2002-04-10, DE</w:t>
      </w:r>
    </w:p>
    <w:p>
      <w:r>
        <w:rPr>
          <w:b/>
        </w:rPr>
        <w:t xml:space="preserve">Quelle: </w:t>
      </w:r>
      <w:r>
        <w:t>https://mcp.opencaselaw.ch/entscheid/bger_6A.3_2002</w:t>
      </w:r>
    </w:p>
    <w:p>
      <w:r>
        <w:t>FR: TF 6A.3/2002 du 10 avril 2002</w:t>
      </w:r>
    </w:p>
    <w:p>
      <w:r>
        <w:t>IT: TF 6A.3/2002 del 10 aprile 2002</w:t>
      </w:r>
    </w:p>
    <w:p>
      <w:pPr>
        <w:pStyle w:val="Heading2"/>
      </w:pPr>
      <w:r>
        <w:t>Regeste</w:t>
      </w:r>
    </w:p>
    <w:p>
      <w:r>
        <w:t>Strassenbau und Strassenverkehr</w:t>
      </w:r>
    </w:p>
    <w:p>
      <w:pPr>
        <w:pStyle w:val="Heading2"/>
      </w:pPr>
      <w:r>
        <w:t>Erwägungen</w:t>
      </w:r>
    </w:p>
    <w:p>
      <w:r>
        <w:rPr>
          <w:b/>
        </w:rPr>
        <w:t>E. 1</w:t>
      </w:r>
    </w:p>
    <w:p>
      <w:r>
        <w:t>Letztinstanzliche kantonale Entscheide über Füh- rerausweisentzüge unterliegen der Verwaltungsgerichtsbe- schwerde an das Bundesgericht ( Art. 24 Abs. 2 SVG ). Der Beschwerdeführer hat als unmittelbar Betroffener ein schutzwürdiges Interesse an der Aufhebung des angefoch- tenen Entscheids, weshalb er zur Beschwerde legitimiert ist ( Art. 24 Abs. 5 SVG ). Mit Verwaltungsgerichtsbeschwerde kann die Ver- letzung von Bundesrecht aller Stufen, also auch von Bun- desverfassungsrecht, sowie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ermittelt worden ist ( Art. 105 Abs. 2 OG ).</w:t>
      </w:r>
    </w:p>
    <w:p>
      <w:r>
        <w:rPr>
          <w:b/>
        </w:rPr>
        <w:t>E. 2</w:t>
      </w:r>
    </w:p>
    <w:p>
      <w:r>
        <w:t>a) Die Vorinstanz verweist zunächst auf die so genannte "Aargauer Praxis" der Verwaltungsbehörden. Danach wird ein rückfälliger Automobilist nicht wieder wie ein Ersttäter behandelt, auch wenn nach Ablauf eines früheren Entzugs wegen Fahrens in angetrunkenem Zustand mehr als</w:t>
      </w:r>
    </w:p>
    <w:p>
      <w:r>
        <w:rPr>
          <w:b/>
        </w:rPr>
        <w:t>E. 5</w:t>
      </w:r>
    </w:p>
    <w:p>
      <w:r>
        <w:t>a) Hebt das Bundesgericht den angefochtenen Ent- scheid auf, so entscheidet es selbst in der Sache oder weist diese zur neuen Beurteilung an die Vorinstanz zurück ( Art. 114 Abs. 2 OG ). Die entscheidwesentlichen Elemente liegen vor. Damit kann umgehend entschieden werden, dass dem Beschwerdeführer der Führerausweis für die Dauer von 3 Monaten entzogen wird. Einzig für die Regelung der Kos- ten- und Entschädigungsfolgen im kantonalen Verfahren ist die Sache an die Vorinstanz zurückzuweisen. b) Bei diesem Ausgang des Verfahrens werden keine Kosten erhoben ( Art. 156 Abs. 1 und 2 OG ). Dem Beschwerde- führer steht eine Parteientschädigung zu ( Art. 159 Abs. 2 OG).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