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6A.35/2006 vom 2. Juni 2006</w:t>
      </w:r>
    </w:p>
    <w:p>
      <w:r>
        <w:t>Bundesgericht, 2006-06-02, FR</w:t>
      </w:r>
    </w:p>
    <w:p>
      <w:r>
        <w:rPr>
          <w:b/>
        </w:rPr>
        <w:t xml:space="preserve">Quelle: </w:t>
      </w:r>
      <w:r>
        <w:t>https://mcp.opencaselaw.ch/entscheid/bger_6A.35_2006</w:t>
      </w:r>
    </w:p>
    <w:p>
      <w:r>
        <w:t>FR: TF 6A.35/2006 du 2 juin 2006</w:t>
      </w:r>
    </w:p>
    <w:p>
      <w:r>
        <w:t>IT: TF 6A.35/2006 del 2 giugno 2006</w:t>
      </w:r>
    </w:p>
    <w:p>
      <w:pPr>
        <w:pStyle w:val="Heading2"/>
      </w:pPr>
      <w:r>
        <w:t>Erwägungen</w:t>
      </w:r>
    </w:p>
    <w:p>
      <w:r>
        <w:rPr>
          <w:b/>
        </w:rPr>
        <w:t>E. 1.1</w:t>
      </w:r>
    </w:p>
    <w:p>
      <w:r>
        <w:t>L'octroi ou le refus de la libération conditionnelle constitue une décision d'application des peines que le code pénal ne réserve pas au juge ( art. 38 ch. 1 al. 1 CP ). Prononcé ou confirmé en dernière instance cantonale, il peut dès lors être attaqué par la voie du recours de droit administratif (cf. ATF 124 I 231 consid. 1 a/aa p. 233; 122 IV 8 consid. 1a et les arrêts cités, 114 IV 95 ss; Bernard Corboz, Le pourvoi en nullité à la Cour de cassation du Tribunal fédéral, SJ 1991 p. 57 ss, 62).</w:t>
      </w:r>
    </w:p>
    <w:p>
      <w:r>
        <w:rPr>
          <w:b/>
        </w:rPr>
        <w:t>E. 1.2</w:t>
      </w:r>
    </w:p>
    <w:p>
      <w:r>
        <w:t>Le recours de droit administratif peut être formé pour violation du droit fédéral, y compris l'excès ou l'abus du pouvoir d'appréciation ( art. 104 let. a OJ ). Le Tribunal fédéral ne peut aller au-delà des conclusions des parties, mais il n'est pas lié par les motifs invoqués, ( art. 114 al. 1 OJ ). En revanche, lorsque, comme en l'espèce, le recours est dirigé contre la décision d'une autorité judiciaire, il est lié par les faits constatés dans la décision attaquée, sauf s'ils sont manifestement inexacts ou incomplets ou s'ils ont été établis au mépris de règles essentielles de la procédure ( art. 104 let. b et 105 al. 2 OJ ). Le Tribunal fédéral dispose ainsi, sur les questions de fait, d'un pouvoir d'examen limité en quelque sorte à l'arbitraire (cf. Peter Karlen, Verwaltungsgerichtsbeschwerde, in: Prozessieren vor Bundesgericht, Thomas Geiser/Peter Münch [éditeurs], 2ème éd., n. 3.61, p. 110 s). Il s'ensuit notamment que des pièces ne peuvent être produites à l'appui d'un recours de droit administratif dirigé contre une décision judiciaire que si leur absence du dossier cantonal constitue une violation de règles essentielles de la procédure ( ATF 128 III 454 consid. 1 p. 456 s. et les références).</w:t>
      </w:r>
    </w:p>
    <w:p>
      <w:r>
        <w:t>En l'espèce, la pièce que le recourant a annexée à son acte de recours, qui n'est autre que l'original d'une lettre d'embauche dont une copie a déjà été versée au dossier cantonal, est dès lors irrecevable.</w:t>
      </w:r>
    </w:p>
    <w:p>
      <w:r>
        <w:rPr>
          <w:b/>
        </w:rPr>
        <w:t>E. 2</w:t>
      </w:r>
    </w:p>
    <w:p>
      <w:r>
        <w:t>En vertu de l' art. 38 ch. 1 al. 1 CP , l'octroi de la libération conditionnelle suppose que le condamné ait purgé les deux tiers de sa peine, mais au moins trois mois en cas de condamnation à l'emprisonnement, que son comportement pendant l'exécution de la peine ne s'oppose pas à son élargissement et que l'on puisse prévoir qu'il se conduira bien en liberté. Dans le cas présent, il est acquis que le recourant a accompli les deux tiers de sa peine et que son comportement en détention ne prête pas à la critique. Est seul litigieux le pronostic à émettre sur sa conduite future. Les autorités cantonales ont considéré que le déni dans lequel il persiste révélait l'absence de toute évolution personnelle et, partant, l'existence d'un risque de récidive excluant la libération conditionnelle. Mais il fait valoir, quant à lui, qu'il présente toutes les garanties nécessaires contre une éventuelle récidive, dès lors qu'il a un emploi, que son amie exerce une influence positive sur lui et que les actes pour lesquels il a été condamné ont été commis - "si tant est qu'ils l'aient été" - dans un contexte particulier qui ne pourra pas se reproduire.</w:t>
      </w:r>
    </w:p>
    <w:p>
      <w:r>
        <w:rPr>
          <w:b/>
        </w:rPr>
        <w:t>E. 2.1</w:t>
      </w:r>
    </w:p>
    <w:p>
      <w:r>
        <w:t>Pour faire un pronostic sur le comportement futur d'un condamné, il faut procéder à une appréciation globale, prenant en considération, d'une part, les antécédents et la personnalité de l'intéressé et, d'autre part, son comportement, tant en général que dans le cadre de la commission des délits qui sont à l'origine de sa condamnation ( ATF 125 IV 113 consid. 2a p. 115). Il ne suffit pas que le comportement du condamné pendant sa détention ne s'oppose pas à son élargissement. On peut même se demander si le comportement pendant l'exécution constitue vraiment un critère de décision indépendant ou s'il n'est pas, selon les circonstances, un simple élément supplémentaire d'appréciation pour établir le pronostic ( ATF 119 IV 5 consid. 1a p. 7). Outre les antécédents, il faut également tenir compte de l'amendement du condamné, ainsi que des conditions dans lesquelles il est à prévoir qu'il vivra ( ATF 119 IV 5 consid. 1b p. 8; 104 IV 281 consid. 2 p. 282).</w:t>
      </w:r>
    </w:p>
    <w:p>
      <w:r>
        <w:t>Par nature,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125 IV 113 consid. 2a p. 116; ATF 124 IV 193 consid. 3 p. 195).</w:t>
      </w:r>
    </w:p>
    <w:p>
      <w:r>
        <w:rPr>
          <w:b/>
        </w:rPr>
        <w:t>E. 2.2</w:t>
      </w:r>
    </w:p>
    <w:p>
      <w:r>
        <w:t>Pour émettre un pronostic, l'autorité cantonale dispose d'un large pouvoir d'appréciation, dont l'usage n'est sanctionné par le Tribunal fédéral qu'en cas d'excès ou d'abus, notamment si la décision entreprise repose sur des considérations étrangères au but de l'institution ( ATF 119 IV 5 consid. 2 p. 8 et la jurisprudence citée). Lorsque l'autorité s'est fondée sur une conception juridique correcte de la libération conditionnelle, qu'elle a pris en considération l'ensemble des éléments pertinents, qu'elle a tiré de ces prémisses des conclusions raisonnables et qu'elle est parvenue à une solution globalement défendable, sa décision échappe à la censure, alors même que l'autorité de recours, si elle avait eu à trancher le cas en première instance, eût peut-être été encline à adopter une autre solution ( ATF 119 IV 5 consid. 2 p. 9).</w:t>
      </w:r>
    </w:p>
    <w:p>
      <w:r>
        <w:rPr>
          <w:b/>
        </w:rPr>
        <w:t>E. 2.3</w:t>
      </w:r>
    </w:p>
    <w:p>
      <w:r>
        <w:t>En persistant dans le déni, le recourant refuse de s'engager véritablement dans les démarches psychothérapeutiques qui lui sont proposées pour s'amender, ce qui, de l'avis de la commission interdisciplinaire consultative, est de nature à fonder la crainte d'une récidive.</w:t>
      </w:r>
    </w:p>
    <w:p>
      <w:r>
        <w:t>Lorsqu'il prétend que les actes retenus contre lui ont été commis dans des circonstances très particulières, qui ne sauraient se reproduire, le recourant perd de vue un fait important, qui ressort du dossier et dont la cour de céans peut dès lors tenir compte bien que la cour cantonale ne l'ait pas relevé ( art. 105 al. 2 OJ ), savoir qu'il a été condamné le 27 mars 1990 par le Tribunal de police du district de Vevey à vingt-et-un jours d'emprisonnement avec sursis pendant quatre ans pour s'être livré, le 24 août 1989, à des attouchements sur deux fillettes âgées de dix et douze ans, qu'il avait remarquées sur une place de jeu alors qu'il sortait du travail et cherchait une place de stationnement (décision de la commission de libération du 13 mars 2006, p. 3, et rapport d'expertise psychiatrique du 21 décembre 2001, p. 5). Cet antécédent démontre que le recourant peut fort bien s'en prendre à des fillettes inconnues et passer à l'acte dans un lieu public, avant de rentrer chez lui. Le fait que, libéré conditionnellement, il vivrait avec son amie, sans présence d'une mineure à son domicile, ne constitue dès lors pas une garantie suffisante contre le risque de récidive.</w:t>
      </w:r>
    </w:p>
    <w:p>
      <w:r>
        <w:t>Dans ces circonstances, le pronostic défavorable émis par les autorités cantonales quant à la conduite future du recourant ne résulte pas d'un abus du pouvoir d'appréciation. Dans la mesure où il tend à faire valoir que les conditions prévues à l' art. 38 ch. 1 al. 1 CP sont remplies, le recours est donc mal fondé.</w:t>
      </w:r>
    </w:p>
    <w:p>
      <w:r>
        <w:rPr>
          <w:b/>
        </w:rPr>
        <w:t>E. 3</w:t>
      </w:r>
    </w:p>
    <w:p>
      <w:r>
        <w:t>D'après la jurisprudence, lorsqu'un détenu, condamné à une peine d'emprisonnement ou à une peine de réclusion de durée limitée, ne remplit pas les conditions posées par l' art. 38 ch. 1 al. 1 CP pour la libération conditionnelle, il convient de rechercher, d'une part, si la dangerosité de l'intéressé diminuera, resta inchangée ou augmentera en cas d'exécution complète de la peine et, d'autre part, si la libération conditionnelle, assortie au besoin de règles de conduite et d'un patronage, ne favoriserait pas mieux la resocialisation du condamné que l'exécution complète de la peine. Si une telle libération paraît plus apte à prévenir la récidive, elle doit être préférée à l'exécution complète de la peine ( ATF 124 IV 193 consid. 4d/aa-bb p. 200 ss).</w:t>
      </w:r>
    </w:p>
    <w:p>
      <w:r>
        <w:t>Invoquant cette jurisprudence, le recourant, qui se déclare prêt à se soumettre à un contrôle psychothérapeutique et au patronage, soutient que la société sera mieux protégée s'il est libéré avec l'obligation de respecter des règles de conduite et de se soumettre au patronage que s'il est purement et simplement élargi à l'expiration de sa peine, le 15 août 2007. Selon lui, les autorités cantonales auraient dès lors dû lui accorder la libération conditionnelle.</w:t>
      </w:r>
    </w:p>
    <w:p>
      <w:r>
        <w:t>Cette conclusion est à tout le moins prématurée. S'il paraît certes réaliste de partir de l'idée que l'exécution du dernier tiers d'une peine d'emprisonnement ou de réclusion de durée limitée n'apporterait, le plus souvent, aucun changement fondamental à la situation du condamné (cf. ATF 124 IV 193 consid. 4d/aa p. 198/199), on ne saurait cependant nier d'emblée qu'un maintien en détention au-delà des deux tiers de la peine soit de nature à favoriser l'amendement. Lorsque, comme en l'espèce, le suivi psychothérapeutique nécessaire à l'amendement d'un condamné échoue en raison du seul refus délibéré de celui-ci de s'engager réellement, et que le solde de la peine est encore long (plus d'une année dans le cas présent), rien ne justifie d'exclure la possibilité d'une évolution positive avant le terme de la peine. En pareille situation, il convient d'examiner dans quelle mesure la resocialisation du détenu serait compromise par l'exécution du dernier tiers de la peine, puis d'examiner si la possibilité d'une évolution favorable l'emporte sur cet inconvénient. Comme il ne ressort pas des constatations de fait de la cour cantonale que la resocialisation du recourant serait rendue plus difficile par son maintien en détention et que celui-ci ne le prétend lui-même pas, les autorités cantonales n'ont pas abusé de leur pouvoir d'appréciation en lui refusant en l'état la libération conditionnelle.</w:t>
      </w:r>
    </w:p>
    <w:p>
      <w:r>
        <w:t>Partant, le recours doit être rejeté.</w:t>
      </w:r>
    </w:p>
    <w:p>
      <w:r>
        <w:rPr>
          <w:b/>
        </w:rPr>
        <w:t>E. 4</w:t>
      </w:r>
    </w:p>
    <w:p>
      <w:r>
        <w:t>Comme il est apparu d'emblée que le recours était mal fondé, la requête d'assistance judiciaire doit être rejetée ( art. 152 al. 1 OJ ). Le recourant, qui succombe, supportera les frais de justice, arrêtés à 800 fr. ( art. 153a al. 2 let. b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