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6A.23/2004 vom 11. Juni 2004</w:t>
      </w:r>
    </w:p>
    <w:p>
      <w:r>
        <w:t>Bundesgericht, 2004-06-11, DE</w:t>
      </w:r>
    </w:p>
    <w:p>
      <w:r>
        <w:rPr>
          <w:b/>
        </w:rPr>
        <w:t xml:space="preserve">Quelle: </w:t>
      </w:r>
      <w:r>
        <w:t>https://mcp.opencaselaw.ch/entscheid/bger_6A.23_2004</w:t>
      </w:r>
    </w:p>
    <w:p>
      <w:r>
        <w:t>FR: TF 6A.23/2004 du 11 juin 2004</w:t>
      </w:r>
    </w:p>
    <w:p>
      <w:r>
        <w:t>IT: TF 6A.23/2004 del 11 giugno 2004</w:t>
      </w:r>
    </w:p>
    <w:p>
      <w:pPr>
        <w:pStyle w:val="Heading2"/>
      </w:pPr>
      <w:r>
        <w:t>Regeste</w:t>
      </w:r>
    </w:p>
    <w:p>
      <w:r>
        <w:t>Strassenbau und Strassenverkehr</w:t>
      </w:r>
    </w:p>
    <w:p>
      <w:pPr>
        <w:pStyle w:val="Heading2"/>
      </w:pPr>
      <w:r>
        <w:t>Erwägungen</w:t>
      </w:r>
    </w:p>
    <w:p>
      <w:r>
        <w:rPr>
          <w:b/>
        </w:rPr>
        <w:t>E. 1</w:t>
      </w:r>
    </w:p>
    <w:p>
      <w:r>
        <w:t>Der angefochtene Entscheid ist eine auf das Strassenverkehrsrecht des Bundes gestützte letztinstanzliche kantonale Verfügung, welche der Verwaltungsgerichtsbeschwerde an das Bundesgericht unterliegt ( Art. 97 Abs. 1 OG i.V.m. Art. 5 Abs. 1 VwVG sowie Art. 98 lit. g OG , Art. 24 Abs. 2 SVG ). Mit der Verwaltungsgerichtsbeschwerde kann die Verletzung von Bundesrecht, einschliesslich Überschreitung oder Missbrauch des Ermessens, gerügt werden ( Art. 104 lit. a OG ). Die Rüge der Unangemessenheit ist vorliegend unzulässig, weil das Bundesrecht sie für den Bereich der Führerausweisentzüge nicht vorsieht ( Art. 104 lit. c Ziff. 3 OG ). Da die Vorinstanz eine richterliche Behörde ist, ist das Bundesgericht an den Sachverhalt gebunden, soweit die Vorinstanz ihn nicht offensichtlich unrichtig, unvollständig oder in Verletzung wesentlicher Verfahrensbestimmungen festgestellt hat ( Art. 105 Abs. 2 OG ).</w:t>
      </w:r>
    </w:p>
    <w:p>
      <w:r>
        <w:rPr>
          <w:b/>
        </w:rPr>
        <w:t>E. 2</w:t>
      </w:r>
    </w:p>
    <w:p>
      <w:r>
        <w:t>Gemäss Art. 14 Abs. 2 lit. d SVG dürfen Lernfahr- und Führerausweis nicht erteilt werden, wenn der Bewerber nach seinem bisherigen Verhalten nicht Gewähr bietet, dass er als Motorfahrzeugführer die Vorschriften beachten und auf die Mitmenschen Rücksicht nehmen würde. Nach Art. 16 Abs. 1 SVG sind Ausweise und Bewilligungen zu entziehen, wenn festgestellt wird, dass die gesetzlichen Voraussetzungen zur Erteilung nicht oder nicht mehr bestehen. Der Führerausweis wird - in der Form des Sicherungsentzugs - auf unbestimmte Zeit entzogen, wenn der Führer wegen Trunksucht oder anderer Suchtkrankheiten, aus charakterlichen oder anderen Gründen nicht geeignet ist, ein Motorfahrzeug zu führen. Mit dem Entzug wird eine Probezeit von mindestens einem Jahr verbunden. Beim Entzug aus medizinischen Gründen entfällt die Probezeit ( Art. 17 Abs. 1bis SVG , Art. 30 Abs. 1 und Art. 33 Abs. 1 VZV ).</w:t>
      </w:r>
    </w:p>
    <w:p>
      <w:r>
        <w:rPr>
          <w:b/>
        </w:rPr>
        <w:t>E. 2.1</w:t>
      </w:r>
    </w:p>
    <w:p>
      <w:r>
        <w:t>Der verfügte Sicherungsentzug samt Auflagen und Bedingungen stützt sich hauptsächlich auf das verkehrspsychologische Gutachten vom 29. Oktober 2003. Dieses kommt unter Würdigung der darin genannten verschiedenen Informationsquellen zu den Schlüssen, die Testergebnisse seien beweiskräftig genug, um die fahrcharakterliche Eignung des Probanden zurzeit noch in Frage zu stellen. Um diese Eignung zu erreichen, müsse er selbstkritischer, einsichtiger, schuld-, risiko- und gefahrenbewusster werden, generell reifemässig noch Fortschritte machen, um sich der automobilistischen Verantwortung voll bewusst zu werden. In Bezug auf Selbstkritik, Risiko- und Gefahrenbewusstsein sowie soziale Verantwortungsfähigkeit zeigten sich beim Probanden noch Reifungsrückstände, die einerseits mit zunehmendem Alter überwunden werden können, andererseits aber auch therapeutisch angegangen werden müssen. Der Gutachter empfahl daher einen Sicherungsentzug und die allfällige Wiedererteilung des Führerausweises unter den Auflagen und Bedingungen von 10 Therapiestunden und des Bestehens einer verkürzten Kontrolluntersuchung. Das Strassenverkehrsamt des Kantons Luzern hat auf Grund dieser Empfehlungen des Gutachters einen Sicherungsentzug mit einer Probezeit von 12 Monaten verfügt, und die Vorinstanz hat die dagegen erhobene Verwaltungsgerichtsbeschwerde abgewiesen.</w:t>
      </w:r>
    </w:p>
    <w:p>
      <w:r>
        <w:rPr>
          <w:b/>
        </w:rPr>
        <w:t>E. 2.2</w:t>
      </w:r>
    </w:p>
    <w:p>
      <w:r>
        <w:t>Was der Beschwerdeführer gegen den Sicherungsentzug vorbringt, ist unbegründet. Dass er zur Ausübung seines Berufs als Gerüstbauer einen Führerausweis benötigt, ist für die Entscheidung der Frage, ob ein Sicherungs- oder ein Warnungsentzug anzuordnen ist, unerheblich. Die berufliche Notwendigkeit, ein Motorfahrzeug zu führen, ist einzig für die Bemessung der Dauer eines allfälligen Warnungsentzugs relevant (siehe Art. 33 Abs. 2 VZV ). Unerheblich ist auch, dass der Arbeitgeber des Beschwerdeführers angeblich in geschäftliche Schwierigkeiten gerät, wenn Letzterem der Führerausweis entzogen wird. Die Behauptung des Beschwerdeführers, er habe im kantonalen Verfahren die Einholung eines gerichtlichen Gutachtens bei PD Dr. med. A.________ beantragt (Beschwerde S. 7), ist unzutreffend. Der Beschwerdeführer hat in seiner kantonalen Verwaltungsgerichtsbeschwerde (S. 6) lediglich angekündigt, dass er den Psychiater A.________ konsultieren und ein Gutachten dieses Experten nachreichen werde, doch hat er in der Folge kein solches Gutachten eingereicht. Die Rüge der Verletzung des Anspruchs auf rechtliches Gehör ist daher unbegründet. Weshalb und inwiefern das verkehrspsychologische Eignungsgutachten vom 29. Oktober 2003 keine hinreichend verlässliche Grundlage für den darin vorgeschlagenen Sicherungsentzug sei beziehungsweise triftige Gründe bestünden, vom Gutachten abzuweichen, legt der Beschwerdeführer nicht substantiiert dar und ist nicht ersichtlich.</w:t>
      </w:r>
    </w:p>
    <w:p>
      <w:r>
        <w:rPr>
          <w:b/>
        </w:rPr>
        <w:t>E. 3</w:t>
      </w:r>
    </w:p>
    <w:p>
      <w:r>
        <w:t>Da die Verwaltungsgerichtsbeschwerde somit abzuweisen ist, soweit darauf eingetreten werden kann,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