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6A.21/2006 vom 15. Juni 2006</w:t>
      </w:r>
    </w:p>
    <w:p>
      <w:r>
        <w:t>Bundesgericht, 2006-06-15, FR</w:t>
      </w:r>
    </w:p>
    <w:p>
      <w:r>
        <w:rPr>
          <w:b/>
        </w:rPr>
        <w:t xml:space="preserve">Quelle: </w:t>
      </w:r>
      <w:r>
        <w:t>https://mcp.opencaselaw.ch/entscheid/bger_6A.21_2006</w:t>
      </w:r>
    </w:p>
    <w:p>
      <w:r>
        <w:t>FR: TF 6A.21/2006 du 15 juin 2006</w:t>
      </w:r>
    </w:p>
    <w:p>
      <w:r>
        <w:t>IT: TF 6A.21/2006 del 15 giugno 2006</w:t>
      </w:r>
    </w:p>
    <w:p>
      <w:pPr>
        <w:pStyle w:val="Heading2"/>
      </w:pPr>
      <w:r>
        <w:t>Regeste</w:t>
      </w:r>
    </w:p>
    <w:p>
      <w:r>
        <w:t>Retrait d'admonestation du permis de conduire | Construction des routes et circulation routière</w:t>
      </w:r>
    </w:p>
    <w:p>
      <w:pPr>
        <w:pStyle w:val="Heading2"/>
      </w:pPr>
      <w:r>
        <w:t>Erwägungen</w:t>
      </w:r>
    </w:p>
    <w:p>
      <w:r>
        <w:rPr>
          <w:b/>
        </w:rPr>
        <w:t>E. 1</w:t>
      </w:r>
    </w:p>
    <w:p>
      <w:r>
        <w:t>Le recours de droit administratif au Tribunal fédéral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le recours est, comme en l'espèce,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2</w:t>
      </w:r>
    </w:p>
    <w:p>
      <w:r>
        <w:t>Le recourant soutient en premier lieu que les faits sur lesquels est fondé l'arrêt attaqué ont été constatés de manière inexacte ou incomplète. Il soutient que la vitesse à laquelle il circulait n'a pas été établie et que rien dans le dossier ne permet de considérer que celle-ci était inadaptée aux circonstances. L'autorité cantonale a confirmé le retrait de permis d'une durée de trois mois au motif que le recourant avait d'une part perdu la maîtrise de sa moto et, d'autre part, circulé à une vitesse inadaptée. Elle a relevé que si le recourant persistait à nier avoir circulé à une vitesse inadaptée, "il n'en demeure pas moins qu'il a décidé de s'acquitter de l'amende qui lui a été infligée à raison de ces deux infractions, admettant ainsi implicitement, sur le plan pénal, les infractions qui lui ont été reprochées". Il apparaît donc que l'autorité cantonale, dont la motivation ne contient par ailleurs aucune allusion à la raison pour laquelle elle a retenu une vitesse inadaptée, s'est considérée comme liée par la décision pénale. Certes, la jurisprudence a admis que l'autorité administrative appelée à se prononcer sur l'existence d'une infraction ne doit pas s'écarter sans raison sérieuse des constatations de fait du juge pénal ( ATF 106 Ib 398 consid. 2, 105 Ib 19 consid. 1a, 104 Ib 359 consid. 1 et 362 ss consid. 3). Elle a toutefois précisé que tel est le cas surtout lorsque le jugement pénal a été rendu au terme d'une procédure publique ordinaire au cours de laquelle les parties ont été entendues et des témoins interrogés ( ATF 119 Ib 158 consid. 3c/aa p. 164). Tel n'est toutefois pas le cas en l'espèce puisque le prononcé pénal rendu à l'encontre du recourant est un simple avis de contravention comportant la seule mention des infractions imputées au recourant et des dispositions légales appliquées. Néanmoins, le principe selon lequel l'autorité administrative ne peut s'écarter des faits retenus au pénal s'applique également, à certaines conditions, lorsque la décision a été rendue à l'issue d'une procédure sommaire, par exemple si la décision pénale se fonde uniquement sur le rapport de police. C'est notamment le cas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droit à sa disposition, et qu'elle ne peut donc pas attendre la procédure administrative pour présenter ses arguments ( ATF 123 II 97 consid. 3c/aa p. 104; 121 II 214 consid. 3a p. 217 s.). En l'espèce, la décision pénale repose sur un rapport de police, duquel il ressort que le pneumatique de la roue arrière du véhicule du recourant a laissé une trace de freinage sur 7,40 mètres. De cette constatation, les auteurs du rapport tirent la conclusion que le recourant n'a pas adapté sa vitesse en s'engageant dans le giratoire. Par ailleurs, l'avis de contravention mentionne l' art. 90 LCR , sans préciser quel alinéa de cette disposition est appliqué en l'espèce. Dès lors, faute d'indication sur la vitesse à laquelle circulait le recourant et en l'absence de condamnation pénale pour violation grave d'une règle de la circulation, l'autorité administrative ne pouvait pas fonder sa décision sur les constatations de l'autorité pénale relatives à la vitesse à laquelle circulait le recourant. Par ailleurs, c'est à juste titre que le recourant soutient qu'il n'est pas admissible de tirer de la seule perte de maîtrise la conclusion qu'il circulait à une vitesse inadaptée, la perte de maîtrise pouvant être imputable à d'autres causes. Dans ces circonstances, faute de constatations suffisantes dans le prononcé pénal, c'est à l'autorité administrative qu'incombait l'établissement des faits sur lesquels elle fonde sa décision. Or l'arrêt attaqué ne contient aucune indication relative à la vitesse à laquelle circulait le recourant, de sorte qu'il n'est pas possible de déterminer si c'est à juste titre que l'autorité cantonale a qualifié celle-ci d'inadaptée au sens de l' art. 32 LCR . Le Tribunal fédéral a déjà eu l'occasion de relever qu'il ne lui appartient pas de procéder à l'établissement correct des faits pertinents ( ATF 117 Ib 101 consid. 3 p. 104). Force est donc de constater que l'état de fait de l'arrêt attaqué est lacunaire, de sorte qu'il y a lieu d'annuler celui-ci en application de l' art. 104 al. 1 let. b OJ et de renvoyer la cause à l'autorité cantonale pour qu'elle statue à nouveau.</w:t>
      </w:r>
    </w:p>
    <w:p>
      <w:r>
        <w:rPr>
          <w:b/>
        </w:rPr>
        <w:t>E. 3</w:t>
      </w:r>
    </w:p>
    <w:p>
      <w:r>
        <w:t>Vu l'issue de la procédure, il ne sera pas perçu de frais ( art. 156 al. 1 et 2 OJ ) et le canton de Genève sera astreint à verser au recourant une indemnité à titre de dépens pour la procédure devant le Tribunal fédéral ( art. 159 al. 1 OJ ). 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