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6A.17/2006 vom 12. April 2006</w:t>
      </w:r>
    </w:p>
    <w:p>
      <w:r>
        <w:t>Bundesgericht, 2006-04-12, FR</w:t>
      </w:r>
    </w:p>
    <w:p>
      <w:r>
        <w:rPr>
          <w:b/>
        </w:rPr>
        <w:t xml:space="preserve">Quelle: </w:t>
      </w:r>
      <w:r>
        <w:t>https://mcp.opencaselaw.ch/entscheid/bger_6A.17_2006</w:t>
      </w:r>
    </w:p>
    <w:p>
      <w:r>
        <w:t>FR: TF 6A.17/2006 du 12 avril 2006</w:t>
      </w:r>
    </w:p>
    <w:p>
      <w:r>
        <w:t>IT: TF 6A.17/2006 del 12 aprile 2006</w:t>
      </w:r>
    </w:p>
    <w:p>
      <w:pPr>
        <w:pStyle w:val="Heading2"/>
      </w:pPr>
      <w:r>
        <w:t>Regeste</w:t>
      </w:r>
    </w:p>
    <w:p>
      <w:r>
        <w:t>Retrait du permis de conduire à titre préventif | Construction des routes et circulation routière</w:t>
      </w:r>
    </w:p>
    <w:p>
      <w:pPr>
        <w:pStyle w:val="Heading2"/>
      </w:pPr>
      <w:r>
        <w:t>Erwägungen</w:t>
      </w:r>
    </w:p>
    <w:p>
      <w:r>
        <w:rPr>
          <w:b/>
        </w:rPr>
        <w:t>E. 1</w:t>
      </w:r>
    </w:p>
    <w:p>
      <w:r>
        <w:t>Dans les cas où, comme en l'espèce, le recours de droit administratif est dirigé contre une décision émanant d'une autorité judiciaire, le Tribunal fédéral est lié par les constatations de fait de l'autorité cantonale ( art. 105 al. 2 OJ ). Des pièces nouvelles ne sont recevables que si elles sont produites dans le délai de recours ( art. 108 al. 2 OJ ) et si leur absence du dossier cantonal constitue une violation de règles essentielles de la procédure ( ATF 128 III 454 consid. 1 p. 456 s. et les références). Faute de remplir l'une et l'autre de ces deux conditions, la pièce nouvelle que le recourant a produite le 3 avril 2006 est irrecevable.</w:t>
      </w:r>
    </w:p>
    <w:p>
      <w:r>
        <w:rPr>
          <w:b/>
        </w:rPr>
        <w:t>E. 2.1</w:t>
      </w:r>
    </w:p>
    <w:p>
      <w:r>
        <w:t>La contestation porte sur le retrait à titre préventif du permis de conduire du recourant, prononcé dans le cadre d'une procédure ouverte pour vérifier si les conditions légales d'un retrait de sécurité sont remplies. La voie du recours de droit administratif est ainsi ouverte ( ATF 122 II 359 consid. 1).</w:t>
      </w:r>
    </w:p>
    <w:p>
      <w:r>
        <w:rPr>
          <w:b/>
        </w:rPr>
        <w:t>E. 2.2</w:t>
      </w:r>
    </w:p>
    <w:p>
      <w:r>
        <w:t>Le recours de droit administratif peut être formé pour violation du droit fédéral, y compris l'excès ou l'abus du pouvoir d'appréciation ( art. 104 let. a OJ ). Le Tribunal fédéral n'est pas lié par les motifs invoqués, mais il ne peut aller au-delà des conclusions des parties ( art. 114 al. 1 OJ ). En revanche, lorsque, comme en l'espèce, le recours est dirigé contre la décision d'une autorité judiciaire, il est lié par les faits constatés dans la décision attaquée, sauf s'ils sont manifestement inexacts ou incomplets ou s'ils ont été établis au mépris de règles essentielles de la procédure ( art. 104 let. b et 105 al. 2 OJ ).</w:t>
      </w:r>
    </w:p>
    <w:p>
      <w:r>
        <w:rPr>
          <w:b/>
        </w:rPr>
        <w:t>E. 3</w:t>
      </w:r>
    </w:p>
    <w:p>
      <w:r>
        <w:t>Aux termes de l' art. 30 OAC , le permis d'élève conducteur ou le permis de conduire peut être retiré à titre préventif lorsqu'il existe des doutes sérieux quant à l'aptitude à conduire de l'intéressé.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Mais, comme l'intéressé ne peut pas être privé durablement de son permis si la preuve de son inaptitude n'est pas faite ( art. 16 al. 1 et 16d LCR , a contrario), le retrait préventif doit s'inscrire dans une procédure de retrait de sécurité. L'expertise ordonnée dans cette procédure doit être exécutée dans les meilleurs délais, afin que le permis puisse être restitué au plus vite à son titulaire s'il n'y a pas lieu de prononcer un retrait de sécurité (cf. ATF 125 II 396 consid. 3 p. 401).</w:t>
      </w:r>
    </w:p>
    <w:p>
      <w:r>
        <w:rPr>
          <w:b/>
        </w:rPr>
        <w:t>E. 3.1</w:t>
      </w:r>
    </w:p>
    <w:p>
      <w:r>
        <w:t>Le retrait préventif peut être prononcé si un examen médical ou le comportement de l'intéressé révèlent des indices concrets d'une inaptitude à la conduite, pour des raisons d'ordre caractériel ou pour autres motifs.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 ATF 122 II 359 consid. 3a p. 364). Pour décider d'un retrait préventif, l'autorité doit donc se fonder sur les éléments dont elle dispose en l'état. En particulier, elle n'a pas à surseoir jusqu'à droit connu sur l'action pénale ( ATF 122 II 359 consid. 2b p. 363). La prise en considération de tous les éléments plaidant pour ou contre l'aptitude de l'intéressé à la conduite de véhicules automobiles aura lieu à l'issue de la procédure au fond ( ATF 122 II 359 consid. 3a p. 364). En l'espèce, la cour cantonale n'a donc violé aucune règle de procédure en prenant sa décision avant droit connu sur l'action pénale. Elle n'a pas non plus ignoré le droit d'être entendu du recourant, qui a eu tout loisir de se déterminer sur les deux incidents qui ont motivé le retrait préventif de son permis de conduire par la commission. Quant aux faits survenus en janvier 2006, la cour cantonale a expressément refusé d'en tenir compte (arrêt attaqué, p. 7 : "le présent jugement ne se fonde pas sur cette nouvelle infraction"). Elle n'a dès lors pas violé le droit d'être entendu du recourant en n'invitant pas celui-ci à déposer des observations à leur propos. Contrairement à ce que soutient le recourant, il n'y a dès lors pas lieu d'annuler la décision attaquée pour vice de procédure ou violation du droit d'être entendu, mais au contraire d'en examiner le bien-fondé sur la base des constatations de fait de la cour cantonale, qui lient le Tribunal fédéral (cf. supra consid. 1.2).</w:t>
      </w:r>
    </w:p>
    <w:p>
      <w:r>
        <w:rPr>
          <w:b/>
        </w:rPr>
        <w:t>E. 3.2</w:t>
      </w:r>
    </w:p>
    <w:p>
      <w:r>
        <w:t>Lorsqu'il existe des indices d'inaptitude suffisants pour justifier l'ouverture d'une procédure portant sur un éventuel retrait de sécurité, les conditions d'un retrait préventif sont par là même remplies. Il en résulte que, dès l'ouverture d'une telle procédure, le permis de conduire doit en principe être retiré à l'intéressé, à titre préventif, quitte à ce que l'autorité rapporte ensuite cette mesure s'il s'avère, après expertise, qu'elle n'était pas justifiée ( ATF 125 II 396 consid. 3 p. 401). En l'espèce, il ressort des constatations de fait de la cour cantonale que le recourant, qui a fait l'objet de sept mesures administratives de 1997 à 2004, admet avoir heurté un îlot non signalé proche d'un passage pour piétons et manqué ensuite à ses devoirs en cas d'accident, en ne s'arrêtant immédiatement pour vérifier si des dégâts avaient été causés à l'ouvrage ( art. 51 al. 1 LCR ), en ne prenant pas les mesures de sécurité que la présence d'huile sur la chaussée rendait nécessaires ( art. 54 al. 1 OCR ) et en n'informant pas sans délai la police du danger qui pouvait exister pour les véhicules passant aux endroits maculés ( art. 54 al. 2 OCR ). Il ressort aussi des constatations de fait de la cour cantonale que le recourant admet avoir roulé sur le pied d'un piéton et avoir encore violé ses devoirs en cas d'accident à cette occasion, en quittant les lieux sans s'assurer de l'état de santé de l'autre usager impliqué, alors qu'il y aurait peut-être eu lieu de lui porter secours ( art. 51 LCR et 54 OCR). À la lumière de ces événements, il est justifié de se demander si le recourant, âgé de 70 ans, n'a pas perdu le sens de ses responsabilités d'automobiliste et la conscience des dangers auxquels il peut exposer les autres usagers. Le rapport d'expertise du Centre de psychologie appliquée d'avril 2005 est loin de lever tous les doutes à ce sujet, puisqu'il y est mentionné que le recourant n'a pas été en mesure de passer les tests du premier coup et que l'expert est ensuite intervenu pour conseiller une sévère mise en garde de l'intéressé. L'autorité cantonale était dès lors fondée à ordonner une expertise de l'aptitude du recourant à la conduite et à lui retirer préventivement son permis jusqu'à plus ample informé. Cette dernière mesure n'est pas disproportionnée, vu son caractère provisoire et l'importance largement prépondérante de l'intérêt public à la sécurité de la route par rapport à l'intérêt économique du recourant. Il s'ensuit que le recours doit être rejeté.</w:t>
      </w:r>
    </w:p>
    <w:p>
      <w:r>
        <w:rPr>
          <w:b/>
        </w:rPr>
        <w:t>E. 4</w:t>
      </w:r>
    </w:p>
    <w:p>
      <w:r>
        <w:t>Vu l'issue de la procédure, les frais de justice doivent être mis à la charge du recourant, qui succombe ( art. 156 al. 1 OJ ). La cause étant ainsi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