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6A.116/2000 vom 7. Juni 2001</w:t>
      </w:r>
    </w:p>
    <w:p>
      <w:r>
        <w:t>Bundesgericht, 2001-06-07, DE</w:t>
      </w:r>
    </w:p>
    <w:p>
      <w:r>
        <w:rPr>
          <w:b/>
        </w:rPr>
        <w:t xml:space="preserve">Quelle: </w:t>
      </w:r>
      <w:r>
        <w:t>https://mcp.opencaselaw.ch/entscheid/bger_6A.116_2000</w:t>
      </w:r>
    </w:p>
    <w:p>
      <w:r>
        <w:t>FR: TF 6A.116/2000 du 7 juin 2001</w:t>
      </w:r>
    </w:p>
    <w:p>
      <w:r>
        <w:t>IT: TF 6A.116/2000 del 7 giugno 2001</w:t>
      </w:r>
    </w:p>
    <w:p>
      <w:pPr>
        <w:pStyle w:val="Heading2"/>
      </w:pPr>
      <w:r>
        <w:t>Erwägungen</w:t>
      </w:r>
    </w:p>
    <w:p>
      <w:r>
        <w:rPr>
          <w:b/>
        </w:rPr>
        <w:t>E. 1</w:t>
      </w:r>
    </w:p>
    <w:p>
      <w:r>
        <w:t>Der angefochtene Entscheid der Verwaltungsrekurskommission des Kantons St. Gallen ist eine auf das Strassenverkehrsrecht des Bundes gestützte letztinstanzliche kantonale Verfügung, welche der Verwaltungsgerichtsbeschwerde an das Bundesgericht unterliegt ( Art. 97 Abs. 1 OG in Verbindung mit Art. 5 Abs. 1 VwVG sowie Art. 98 lit. g OG , Art. 24 Abs. 2 des Bundesgesetzes vom 19. Dezember 1958 über den Strassenverkehr [SVG; SR 741. 01]).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120 Ib 287 E. 3a und d, 111 Ib 202 E. 2). Nicht überprüfen kann das Bundesgericht grundsätzlich die Angemessenheit des angefochtenen Entscheides ( Art. 104 lit. c OG ). Gemäss Art. 105 Abs. 2 OG ist das Bundesgericht an die Feststellung des Sachverhalts gebunden, wenn eine richterliche Behörde, wie die Verwaltungsrekurskommission des Kantons St. Gallen (vgl. Art. 16 des St. Galler Gerichtsgesetzes vom 2. April 1987; BGE 120 Ib 305 E. 4a), als Vorinstanz den Sachverhalt nicht offensichtlich unrichtig, unvollständig oder unter Verletzung wesentlicher Verfahrensbestimmungen festgestellt hat. An die Begründung der Begehren ist es nicht gebunden ( Art. 114 Abs. 1 OG ).</w:t>
      </w:r>
    </w:p>
    <w:p>
      <w:r>
        <w:rPr>
          <w:b/>
        </w:rPr>
        <w:t>E. 2</w:t>
      </w:r>
    </w:p>
    <w:p>
      <w:r>
        <w:t>a) Die Vorinstanz nimmt an, der Beschwerdeführer habe, indem er während seines Überholmanövers auf der mit Schneematsch bedeckten Autobahnstrecke bei einer Geschwindigkeit von rund 70 km/h abrupt gebremst, dabei die Kontrolle über sein Fahrzeug verloren und einen Verkehrsunfall verursacht habe, eine erhebliche Gefahr geschaffen.</w:t>
      </w:r>
    </w:p>
    <w:p>
      <w:r>
        <w:t>Dieser Fahrfehler sei zumindest auf mangelnde Aufmerksamkeit zurückzuführen. Der Fahrzeuglenker müsse seine Aufmerksamkeit der Strasse und dem Verkehr zuwenden.</w:t>
      </w:r>
    </w:p>
    <w:p>
      <w:r>
        <w:t>Nur so vermöge er sein Fahrzeug auch in einer ungewöhnlichen Situation zu beherrschen. Da der Beschwerdeführer diese Vorsichtspflichten missachtet habe, sei von einem mittelschweren Verschulden auszugehen. Damit scheide die Annahme eines leichten Falles aus. Da das Strassen- und Schifffahrtsamt die gesetzliche Mindestdauer des Entzugs nicht überschritten habe, komme der Beurteilung des Leumundes des Beschwerdeführers keine Bedeutung zu. Dasselbe gelte für die berufliche Entzugsempfindlichkeit, die sich ebenfalls nur auf die Bemessung der Entzugsdauer auswirken könnte.</w:t>
      </w:r>
    </w:p>
    <w:p>
      <w:r>
        <w:t>b) Der Beschwerdeführer macht geltend, der Strafbescheid sei in der Form einer Bussenverfügung durch den Untersuchungsbeamten ohne untersuchungsrichterliche Einvernahmen und gestützt auf Art. 90 Abs. 1 SVG erlassen worden. Die relativ geringe Busse lasse darauf schliessen, dass der Strafrichter das Verschulden als leicht bewertet habe. Mangelnde Aufmerksamkeit sei ihm nicht vorgeworfen worden. Zudem habe er nicht abrupt gebremst, sondern sei bloss "instinktiv" auf die Bremse getreten bzw. habe die Geschwindigkeit des Fahrzeugs durch Abbremsen verringert. Eine solche Massnahme hätte die grosse Mehrheit der Autofahrer in einer vergleichbaren Situation ebenfalls ergriffen. Ein blosses Velangsamen seiner Fahrt durch Wegnahme des Fusses vom Gaspedal hätte der aussergewöhnlichen Situation nicht genügend Rechnung getragen. Seine Geschwindigkeit von 60-70 km/h bei einer signalisierten Höchstgeschwindigkeit von 100 km/h und seine Fahrweise seien den damaligen Verhältnissen angemessen gewesen. Mit der Vereisung unter dem Schneepflotsch habe er nicht rechnen müssen. Die Ursache für sein Verhalten habe die Polizei gesetzt.</w:t>
      </w:r>
    </w:p>
    <w:p>
      <w:r>
        <w:t>Die Polizeibeamten hätten, indem sie ihr Fahrzeug mit eingeschalteter Warnblinkanlage vor die bereits auf dem Pannenstreifen stehenden Personenwagen gestellt hätten, eine Gefahrensituation geschaffen, ohne die nötigen Sicherheitsvorkehren zu treffen. Er habe sich daher letztlich in einer Notstandssituation befunden. Insgesamt liege höchstens ein leichter Fall vor, so dass sein automobilistischer Leumund zwingend hätte berücksichtigt werden müssen. Zudem seien seit dem Vorfall bald zwei Jahre vergangen, weshalb er keiner Massnahme mehr bedürfe.</w:t>
      </w:r>
    </w:p>
    <w:p>
      <w:r>
        <w:t>Schliesslich sei er durch den Unfall wegen des Verlusts des Kurzzeitgedächtnisses selbst schwer betroffen worden.</w:t>
      </w:r>
    </w:p>
    <w:p>
      <w:r>
        <w:rPr>
          <w:b/>
        </w:rPr>
        <w:t>E. 3</w:t>
      </w:r>
    </w:p>
    <w:p>
      <w:r>
        <w:t>a) Die Verwaltungsbehörde ist in Bezug auf die Rechtsanwendung nicht an die rechtliche Qualifikation des Sachverhaltes durch das Strafurteil gebunden. Etwas anderes gilt nur, wenn die rechtliche Würdigung sehr stark von der Beurteilung von Tatsachen abhängt, die der Strafrichter besser kennt als die Verwaltungsbehörde, was etwa dann der Fall ist, wenn er den Beschuldigten persönlich einvernommen hat ( BGE 124 II 103 E. 1c/bb).</w:t>
      </w:r>
    </w:p>
    <w:p>
      <w:r>
        <w:t>Der massgebliche Sachverhalt ist hinreichend bekannt.</w:t>
      </w:r>
    </w:p>
    <w:p>
      <w:r>
        <w:t>Die Verwaltungsbehörde ist in ihrer Beurteilung des Falles frei.</w:t>
      </w:r>
    </w:p>
    <w:p>
      <w:r>
        <w:t>b) Der Führerausweis kann gemäss Art. 16 Abs. 2 SVG entzogen werden, wenn der Führer Verkehrsregeln verletzt und dadurch den Verkehr gefährdet oder andere belästigt hat (Satz 1; Art. 31 Abs. 1 VZV ). Die Dauer des Entzugs ist nach den Umständen festzusetzen; sie beträgt jedoch mindestens einen Monat ( Art. 17 Abs. 1 lit. a SVG ; vgl. auch BGE 123 II 225 E. 2b/cc). In leichten Fällen kann eine Verwarnung ausgesprochen werden ( Art. 16 Abs. 2 SVG Satz 2; Art. 31 Abs. 2 VZV ). Nach Art. 16 Abs. 3 lit. a SVG muss der Führerausweis entzogen werden, wenn der Führer den Verkehr in schwerer Weise gefährdet hat, was nach der Rechtsprechung dann der Fall ist, wenn der Fahrzeuglenker durch grobe Verletzung der Verkehrsregeln im Sinne von Art. 90 Ziff. 2 SVG eine ernstliche Gefahr für die Sicherheit anderer hervorruft oder in Kauf nimmt und ihn ein schweres Verschulden trifft, ihm bei fahrlässigem Handeln mithin mindestens grobe Fahrlässigkeit anzulasten ist ( Art. 32 Abs. 1 und 2 VZV ; BGE 126 II 206 E. 1 mit Hinweisen). Das Gesetz unterscheidet somit den leichten ( Art. 16 Abs. 2 Satz 2 SVG ), den mittelschweren ( Art. 16 Abs. 2 Satz 1 SVG ) und den schweren Fall ( Art. 16 Abs. 3 lit. a SVG ). Nach der Rechtsprechung kann auf den Führerausweisentzug grundsätzlich nur verzichtet werden, wenn der Fall leicht im Sinne von Art. 16 Abs. 2 Satz 2 SVG ist. Bei einem mittelschweren Fall fällt ein Verzicht nur dann in Betracht, wenn unter dem Gesichtspunkt des Verhältnismässigkeitsgrundsatzes besondere Umstände vorliegen. Ob der Fall leicht im Sinne von Art. 16 Abs. 2 Satz 2 SVG ist, beurteilt sich nach dem Verschulden des Fahrzeuglenkers und seinem automobilistischen Leumund; die Schwere der Verkehrsgefährdung ist nur insoweit von Bedeutung, als sie auch verschuldensmässig relevant ist ( BGE 126 II 202 E. 1a und 358 E. 1a; 125 II 561 E. 2; 118 Ib 229 ). Fehlt es an einem leichten Verschulden, ist die Annahme eines leichten Falles selbst dann ausgeschlossen, wenn der Fahrzeuglenker über einen langjährigen ungetrübten automobilistischen Leumund verfügt ( BGE 126 II 192 E. 2c und 202 E. 1b).</w:t>
      </w:r>
    </w:p>
    <w:p>
      <w:r>
        <w:t>c)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der Verkehrsregelnverordnung vom 13. November 1962 [VRV; SR 741. 11] ). Das Mass der Aufmerksamkeit, das vom Fahrzeuglenker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120 IV 63 E. 2a; 116 IV 230 E. 2).</w:t>
      </w:r>
    </w:p>
    <w:p>
      <w:r>
        <w:t>d) Das dem Beschwerdeführer von der Vorinstanz zur Last gelegte Fehlverhalten erschöpft sich darin, dass er sich nach der Fahrt durch den künstlich erleuchteten Stefanshorntunnel durch die zwei unmittelbar nach der Tunnelausfahrt mit eingeschalteten Warnblinkanlagen auf dem Pannenstreifen stehenden Polizeifahrzeuge hat überraschen lassen und dabei unglücklich reagiert hat, indem er instinktiv auf die Bremse trat. Dass er auf die von ihm als Gefahr wahrgenommene Situation überhaupt reagierte, kann ihm nicht zum Vorwurf gereichen. Wohl hat er im entscheidenden Moment nicht erkannt, dass die Polizeifahrzeuge auf dem Pannenstreifen standen und insofern in Wirklichkeit für ihn auf der Überholspur keine Gefahr bestand, die ein brüskes Bremsen erfordert hätte.</w:t>
      </w:r>
    </w:p>
    <w:p>
      <w:r>
        <w:t>Indes kommt in diesem Zusammenhang den konkreten Umständen besonderes Gewicht zu. Unbestritten ist, dass der Beschwerdeführer seine Fahrgeschwindigkeit den mit Schneematsch bedeckten Strassen angepasst hatte und lediglich mit 60-70 km/h anstatt der signalisierten Höchstgeschwindigkeit von erlaubten 100 km/h fuhr. Insofern unterscheidet sich der zu beurteilende Fall von demjenigen, der BGE 126 II 192 zugrunde lag. In jenem Entscheid würdigte das Bundesgericht den Umstand, dass eine Fahrzeuglenkerin innerorts in einer leichten Kurve eine mit Schneematsch bedeckte Strasse mit der nur unter günstigen Verhältnissen zulässigen Höchstgeschwindigkeit von 50 km/h befahren hatte, als zumindest mittelschweres Verschulden. Der Beschwerdeführer hat hier zudem die ungewöhnliche Situation am Rande der Fahrbahn an sich richtig erkannt, wenn auch falsch eingeschätzt. Dass er seine Aufmerksamkeit nicht auf das Verkehrsgeschehen gerichtet hätte, trifft somit nicht zu. Aus dem Umstand, dass er seine Fahrt angesichts dieser von ihm als gefährlich interpretierten Verkehrslage abgebremst hat, lässt sich ihm kein Vorwurf machen. Ein Verschulden liegt allenfalls darin, dass er sein Fahrzeug nach dem brüsk eingeleiteten Bremsmanöver nicht mehr beherrschen konnte. Dies lag im zu beurteilenden Fall aber ausschliesslich an den misslichen Strassenverhältnissen und war somit, wie der Beschwerdeführer zu Recht einwendet, - jedenfalls für den durchschnittlich geübten Fahrer - die nicht beeinflussbare Folge eines im Ansatz grundsätzlich richtigen Fahrverhaltens. Der vom Beschwerdeführer verursachte Unfall ist daher letztlich das Ergebnis eines Zusammenspiels mehrerer unglücklicher Umstände. Bei dieser Sachlage ist die Annahme eines mittelschweren Falles nicht gerechtfertigt. Dem Beschwerdeführer ist höchstens ein leichtes Verschulden anzulasten, bei dem ein Entzug des Führerausweises nicht angemessen ist. Dass ein Entzug des Ausweises hier einer Ermessensverletzung gleichkommt, ergibt sich auch aus dem langjährigen ungetrübten automobilistischen Leumund des Beschwerdeführers, der bei der Wahl der Sanktion im Falle leichten Verschuldens Bedeutung erlangt. Abgesehen davon ist bei einer Konstellation wie der vorliegenden, in der sich der Fahrzeuglenker im Grunde korrekt verhält, nicht ersichtlich, inwiefern ein Warnungsentzug seiner Besserung und der Bekämpfung von Rückfällen sollte dienen können. Das angefochtene Urteil verletzt somit Bundesrecht und die Beschwerde erweist sich als begründet.</w:t>
      </w:r>
    </w:p>
    <w:p>
      <w:r>
        <w:rPr>
          <w:b/>
        </w:rPr>
        <w:t>E. 4</w:t>
      </w:r>
    </w:p>
    <w:p>
      <w:r>
        <w:t>Aus diesen Gründen ist die Beschwerde gutzuheissen, soweit darauf einzutreten ist. Bei diesem Ausgang des Verfahrens sind keine Kosten zu erheben ( Art. 156 Abs. 2 OG ). Der Kanton St. Gallen wird verpflichtet, dem Beschwerdeführer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