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6A.112/2001 vom 24. Januar 2002</w:t>
      </w:r>
    </w:p>
    <w:p>
      <w:r>
        <w:t>Bundesgericht, 2002-01-24, DE</w:t>
      </w:r>
    </w:p>
    <w:p>
      <w:r>
        <w:rPr>
          <w:b/>
        </w:rPr>
        <w:t xml:space="preserve">Quelle: </w:t>
      </w:r>
      <w:r>
        <w:t>https://mcp.opencaselaw.ch/entscheid/bger_6A.112_2001</w:t>
      </w:r>
    </w:p>
    <w:p>
      <w:r>
        <w:t>FR: TF 6A.112/2001 du 24 janvier 2002</w:t>
      </w:r>
    </w:p>
    <w:p>
      <w:r>
        <w:t>IT: TF 6A.112/2001 del 24 gennaio 2002</w:t>
      </w:r>
    </w:p>
    <w:p>
      <w:pPr>
        <w:pStyle w:val="Heading2"/>
      </w:pPr>
      <w:r>
        <w:t>Regeste</w:t>
      </w:r>
    </w:p>
    <w:p>
      <w:r>
        <w:t>Strassenbau und Strassenverkehr</w:t>
      </w:r>
    </w:p>
    <w:p>
      <w:pPr>
        <w:pStyle w:val="Heading2"/>
      </w:pPr>
      <w:r>
        <w:t>Erwägungen</w:t>
      </w:r>
    </w:p>
    <w:p>
      <w:r>
        <w:rPr>
          <w:b/>
        </w:rPr>
        <w:t>E. 2</w:t>
      </w:r>
    </w:p>
    <w:p>
      <w:r>
        <w:t>a)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125 I 166 E. 3a S. 170, je mit weiteren Hinweisen). Die Rüge des Beschwerdeführers geht an der Sache vorbei. Es stellt sich nicht die Frage, ob der Beschwerdeführer im vorinstanzlichen Verfahren eine (innert Frist verbesserbare) Formvorschrift verletzt hat, sondern inwieweit er verpflichtet war, bei der Feststellung des Sachverhalts mitzuwirken. Er legte das entscheidende Prozessthema nämlich selbst fest, indem er geltend machte, er sei irrtümlich von einer erlaubten Höchstgeschwindigkeit von 80 km/h auf dem fraglichen Strassenabschnitt ausgegangen. Zudem beantragte er die Sistierung des Verwaltungsgerichtsverfahrens, bis der Strafrichter diese Frage beurteilt habe. b) Für die Feststellung des Sachverhalts gilt im Verwaltungsverfahren grundsätzlich die Untersuchungsmaxime (ebenso Art. 45 VRG/FR). Diese wird jedoch relativiert durch die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ohne vernünftigen Aufwand erheben können ( BGE 124 II 361 E. 2b). Das Freiburger Verwaltungsrechtspflegegesetz sieht eine Mitwirkungspflicht der Parteien insbesondere vor, wenn sie sich auf einen bestimmten Sachverhalt berufen (Art. 47 lit. a VRG/FR), und berechtigt die Behörde, auf die Begehren der Partei nicht einzutreten oder aufgrund der Akten zu entscheiden, wenn die Partei die zumutbare Mitwirkung nicht leistet (Art. 49 Abs. 1VRG/FR). c) Zunächst ist der Behauptung des Beschwerdeführers entgegenzutreten, seine Verurteilung gestützt auf Art. 90 Ziff. 1 SVG könne nur bedeuten, dass der Strafrichter zur Überzeugung gelangt sei, der Beschwerdeführer habe aus nachvollziehbaren Gründen meinen dürfen, er befinde sich noch auf einer Strecke mit einer signalisierten Höchstgeschwindigkeit von 80 km/h. Die Verurteilung gemäss Ziff. 1 schliesst lediglich die Annahme einer groben Verkehrsregelverletzung durch den Strafrichter aus; ob er aber das Verschulden als leicht oder mittelschwer beurteilte, lässt sich daraus nicht ableiten. Möglicherweise erkannte er bloss auf eine einfache Verkehrsregelverletzung, weil die Innerortshöchstgeschwindigkeit auf dem fraglichen Streckenabschnitt 60 km/h betrug und er die bundesgerichtliche Rechtsprechung, die auf der generellen Innerortshöchstgeschwindigkeit von 50 km/h beruht, entsprechend anpasste. Auf weitere Mutmassungen kann hier jedoch verzichtet werden. Aus dem Urteilsdispositiv des Strafrichters geht lediglich hervor, dass der Beschwerdeführer die signalisierte Höchstgeschwindigkeit innerorts um 27 km/h überschritten hatte und deswegen in Anwendung von Art. 90 Ziff. 1 SVG mit Fr. 800.-- gebüsst wurde. In Bezug auf den Einwand des Beschwerdeführers, er habe irrtümlich angenommen, am fraglichen Ort sei das Fahren mit 80 km/h erlaubt, bringt das Dispositiv keine Klarheit. Entscheidend ist nun aber, dass der anwaltlich vertretene Beschwerdeführer das vorinstanzliche Verfahren sistieren liess, damit der Strafrichter die Irrtumsfrage kläre. In dieser Situation traf den Beschwerdeführer eine Mitwirkungspflicht bei der Beschaffung der Ergebnisse des Strafverfahrens. Nachdem wie erwähnt dem Urteilsdispositiv keine Angaben bezüglich der Irrtumsfrage zu entnehmen waren, konnte die Vorinstanz vom Beschwerdeführer nach Treu und Glauben erwarten, dass er die schriftliche Begründung des Strafurteils verlange, zumal ihm ja die Urteilsmotive vom Strafrichter bereits kurz mündlich erläutert worden waren. Unter diesen Umständen durfte die Vorinstanz auf weitere Abklärungen verzichten und ihren Entscheid auf das vom Beschwerdeführer eingereichte Dispositiv stützen. Jedenfalls hat sie dabei keine wesentlichen Verfahrensbestimmungen ( Art. 105 Abs. 2 OG ) verletzt. Im Übrigen enthalten Angaben des Beschwerdeführers Anhaltspunkte, die eher gegen einen Irrtum sprechen. Angesichts des Wohnorts des Beschwerdeführers, seiner drei Arbeitsorte und der hohen jährlichen Fahrleistung liegt die Vermutung nahe, dass er bezüglich des fraglichen Streckenabschnitts der N5 ortskundig ist. Zudem gab er selbst an, bei der zu schnellen Fahrt habe es sich um eine Testfahrt mit einem Fahrzeug mit Alternativ-Treibstoffen auf Rapsöl-Basis gehandelt; er habe auf der breiten und übersichtlichen Strasse zwischen Biel und Neuenburg eine neue Fahrweise (Fahrt in hohen Gängen bei möglichst geringer Tourenzahl) getestet und sich auf diese Fahrweise bzw. die Messungen konzentriert.</w:t>
      </w:r>
    </w:p>
    <w:p>
      <w:r>
        <w:rPr>
          <w:b/>
        </w:rPr>
        <w:t>E. 3</w:t>
      </w:r>
    </w:p>
    <w:p>
      <w:r>
        <w:t>Inwiefern gestützt auf den verbindlichen Sachverhalt ein einmonatiger Führerausweisentzug gegen Bundesrecht verstossen sollte, legt der Beschwerdeführer nicht dar und ist auch nicht ersichtlich. Folglich ist die Verwaltungsgerichtsbeschwerde abzuweisen. Im Übrigen ist der Beschwerdeführer darauf hinzuweisen, dass anstelle eines Führerausweisentzugs eine Verwarnung nur anzuordnen ist, wenn der Fall nicht nur unter Berücksichtigung des Verschuldens, sondern auch des Leumunds als Motorfahrzeugführer als leicht erscheint ( Art. 31 Abs. 2 VZV ). Der Beschwerdeführer war bereits 1993 und 1996 unter anderem wegen einer Geschwindigkeitsüberschreitung verwarnt worden. Bei dieser Ausgangslage hätte die Anordnung eines einmonatigen Führerausweisentzugs selbst dann Bundesrecht nicht verletzt, wenn dem Beschwerdeführer bloss ein leichtes Verschulden vorzuwerfen gewesen wäre.</w:t>
      </w:r>
    </w:p>
    <w:p>
      <w:r>
        <w:rPr>
          <w:b/>
        </w:rPr>
        <w:t>E. 4</w:t>
      </w:r>
    </w:p>
    <w:p>
      <w:r>
        <w:t>Bei diesem Ausgang des Verfahrens hat der Beschwerdeführer die bundesgerichtlichen 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