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6A.111/2001 vom 4. März 2002</w:t>
      </w:r>
    </w:p>
    <w:p>
      <w:r>
        <w:t>Bundesgericht, 2002-03-04, DE</w:t>
      </w:r>
    </w:p>
    <w:p>
      <w:r>
        <w:rPr>
          <w:b/>
        </w:rPr>
        <w:t xml:space="preserve">Quelle: </w:t>
      </w:r>
      <w:r>
        <w:t>https://mcp.opencaselaw.ch/entscheid/bger_6A.111_2001</w:t>
      </w:r>
    </w:p>
    <w:p>
      <w:r>
        <w:t>FR: TF 6A.111/2001 du 4 mars 2002</w:t>
      </w:r>
    </w:p>
    <w:p>
      <w:r>
        <w:t>IT: TF 6A.111/2001 del 4 marzo 2002</w:t>
      </w:r>
    </w:p>
    <w:p>
      <w:pPr>
        <w:pStyle w:val="Heading2"/>
      </w:pPr>
      <w:r>
        <w:t>Regeste</w:t>
      </w:r>
    </w:p>
    <w:p>
      <w:r>
        <w:t>Strassenbau und Strassenverkehr</w:t>
      </w:r>
    </w:p>
    <w:p>
      <w:pPr>
        <w:pStyle w:val="Heading2"/>
      </w:pPr>
      <w:r>
        <w:t>Erwägungen</w:t>
      </w:r>
    </w:p>
    <w:p>
      <w:r>
        <w:rPr>
          <w:b/>
        </w:rPr>
        <w:t>E. 1</w:t>
      </w:r>
    </w:p>
    <w:p>
      <w:r>
        <w:t>a) Die Vorinstanz begründet den einmonatigen Führerausweisentzug im Wesentlichen mit der konkreten Gefahrenlage. Im Gegensatz zur allgemeinen Höchstgeschwindigkeit von 120 km/h auf Autobahnen sei die Höchstgeschwindigkeit auf der erwähnten Autobahnausfahrt auf 60 km/h limitiert. Werde auf einer Autobahnausfahrt die Höchstgeschwindigkeit auf 60 km/h - und somit unter die Ausserortshöchstgeschwindigkeit - reduziert, so müsse in der Regel davon ausgegangen werden, dass die Geschwindigkeitsbegrenzung aus Gründen der Verkehrssicherheit angeordnet worden sei. Die Rechtsprechung, wonach auf Autobahnen erst bei Geschwindikgeitsüberschreitungen von 31 bis 34 km/h von einem mittelschweren Fall ausgegangen werde, beziehe sich auf die normal geführte Autobahn mit einer zulässigen Höchstgeschwindigkeit von 120 km/h. Diese Rechtsprechung könne nicht unbesehen auf Autobahnabschnitte übertragen werden, auf welchen die Geschwindigkeit aus Sicherheitsgründen limitiert sei. Entsprechend sei die festgestellte Geschwindigkeitsüberschreitung von 26 km/h als schwerwiegender einzustufen, als wenn sie sich auf der "normalen" Autobahn ereignet hätte. Vorliegend müsse somit von einem mittelschweren Fall ausgegangen werden, habe der Beschwerdeführer die zulässige Höchstgeschwindigkeit doch immerhin um rund 43 % überschritten (angefochtener Entscheid S. 8 f. lit. aa). b) Der Beschwerdeführer ist der Ansicht, auf einer Autobahnausfahrt dürften nicht die Grundsätze betreffend Geschwindigkeitsüberschreitung auf Ausserortsstrecken angewandt werden. Es sei eine notorische Tatsache, dass an derartigen Stellen generelle Geschwindigkeitsbeschränkungen auf 60 km/h regelmässig überschritten würden, sei doch die Gewöhnung an 120 km/h noch präsent und es bedürfe einer gewissen Zeit, dies zu ändern. In casu habe sich der Vorfall zu Beginn dieser mit einer tieferen Limite versehenen Strecke ereignet, das heisse zu Beginn der "Umgewöhnungsphase", weshalb er eher leicht zu gewichten sei. Hinzu komme, dass es sich um eine einspurige Autobahnausfahrt handle. Dort bestehe nicht nur kein Frontalkollisionsrisiko, sondern auch kein Risiko einer seitlichen Kollision wie auf der eigentlichen Autobahn; der Beschwerdeführer sei "allein auf weiter Flur" gewesen (Beschwerdeschrift S. 7 f. lit. c).</w:t>
      </w:r>
    </w:p>
    <w:p>
      <w:r>
        <w:rPr>
          <w:b/>
        </w:rPr>
        <w:t>E. 2</w:t>
      </w:r>
    </w:p>
    <w:p>
      <w:r>
        <w:t>a) Bei Geschwindigkeitsüberschreitungen von 31 bis 34 km/h auf Autobahnen ist der Führerausweis, und zwar selbst bei günstigen Umständen (günstige Verkehrsverhältnisse und guter automobilistischer Leumund), gestützt auf Art. 16 Abs. 2 Satz 1 SVG zu entziehen ( BGE 123 II 106 E. 2c S. 113). Ein mittelschwerer Fall mit der Rechtsfolge eines fakultativen Führerausweisentzugs liegt ebenso vor, wenn die zulässige Höchstgeschwindigkeit ausserorts von 80 km/h um 26 bis 29 km/h überschritten wird ( BGE 124 II 259 E. 2c). b) Wie das ASTRA zutreffend ausführt (act. 11), kann eine Geschwindigkeitsüberschreitung auf einer Autobahnausfahrt nicht mit einer Überschreitung auf der Autobahn selbst, der Stammlinie, gleichgesetzt werden. Die Stammlinie weist beispielsweise in aller Regel weitere Kurvenradien auf als eine Ausfahrtsstrecke mit einer verhältnismässig tiefen zulässigen Höchstgeschwindigkeit. Gerade die relativ engen Kurvenradien auf Autobahnausfahrten, die je nach Bepflanzung oder Verbauungen die Sicht nach vorne oft stark beeinträchtigen, erhöhen die Gefahr von Auffahrkollisionen bei Stau erheblich. Diese Gefahrenlage besteht - dank der relativ weiten Sicht - kaum auf Autobahnen. Auch kommt auf einer Autobahn eine Herabsetzung der zulässigen Höchstgeschwindigkeit auf 60 km/h nur in seltenen Ausnahmefällen, zum Beispiel einer sehr schwierig zu befahrenden Baustelle, in Betracht. Zudem wird die gesetzliche Höchstgeschwindigkeit von 120 km/h auf Autobahnen auf der Autobahnausfahrt nicht unvermittelt auf 60 km/h herabgesetzt. Denn Art. 22 der Signalisationsverordnung vom 5. September 1979 (SSV; SR 741. 21) schreibt in solchen Fällen eine stufenweise Senkung der Höchstgeschwindigkeit vor. Eine Autobahnausfahrt ist daher hinsichtlich des Gefahrenpotentials mit einer Ausserortsstrecke vergleichbar und nicht mit einer Autobahn. Das bedeutet, dass bezüglich Geschwindigkeitsüberschreitungen im Regelfall die von der Rechtsprechung für Ausserortsstrecken entwickelten Grundsätze anzuwenden sind. Danach liegt bei einer Überschreitung der zulässigen Höchstgeschwindigkeit um 26 bis 29 km/h ungeachtet der konkreten Umstände ein mittelschwerer Fall vor, der grundsätzlich einen Führerausweisentzug nach Art. 16 Abs. 2 SVG nach sich zieht ( BGE 124 II 259 ). Besondere Verhältnisse, die ein Abweichen von dieser Regel rechtfertigen könnten ( BGE 118 Ib 229 ff.) liegen nicht vor. Damit erweist sich die Beschwerde in diesem Punkt als unbegründet.</w:t>
      </w:r>
    </w:p>
    <w:p>
      <w:r>
        <w:rPr>
          <w:b/>
        </w:rPr>
        <w:t>E. 3</w:t>
      </w:r>
    </w:p>
    <w:p>
      <w:r>
        <w:t>Es bleibt zu prüfen, ob die vom Beschwerdeführer geltend gemachte lange Verfahrensdauer zu einem abweichenden Entscheid führt. Hier sind folgende Daten zu beachten: - 5. Sept. 1998:Inkriminierter Vorfall; - 19. Nov. 1998 : In Rechtskraft erwachsene Strafverfügung; - 25. März 1999 :Erstinstanzliche Verfügung betreffend Führerausweisentzug; - 4. Juli 2000 :Beschwerdeabweisung durch das Departement des Innern; - 21. Sept. 2000:Zustellung des entsprechenden Beschwerdeentscheids; - 25. Sept. 2001:Beschwerdeabweisender Entscheid des Verwaltungsgerichts. Es ist einzuräumen, dass die Verfahrensdauer vor den kantonalen Instanzen zu lange gedauert hat. Es ist mit Sinn und Zweck eines Warnungsentzugs schwer zu vereinbaren, wenn das kantonale Verfahren vom Zeitpunkt an gerechnet, an dem das kantonale Amt von der rechtskräftigen Erledigung des Strafverfahrens Kenntnis hat, insgesamt über ein Jahr dauert. Nach der Rechtsprechung ( BGE 122 II 180 E. 5a, vgl. auch 127 II 297 E. 3d) führt jedoch eine Verfahrensdauer von drei Jahren nicht zu einer Herabsetzung der Dauer des Führerausweisentzugs. Der Antrag des Beschwerdeführers, es sei bloss eine Verwarnung auszusprechen, ist deshalb abzuweisen.</w:t>
      </w:r>
    </w:p>
    <w:p>
      <w:r>
        <w:rPr>
          <w:b/>
        </w:rPr>
        <w:t>E. 4</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