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5P.95/2004 vom 20. August 2004</w:t>
      </w:r>
    </w:p>
    <w:p>
      <w:r>
        <w:t>Bundesgericht, 2004-08-20, FR</w:t>
      </w:r>
    </w:p>
    <w:p>
      <w:r>
        <w:rPr>
          <w:b/>
        </w:rPr>
        <w:t xml:space="preserve">Quelle: </w:t>
      </w:r>
      <w:r>
        <w:t>https://mcp.opencaselaw.ch/entscheid/bger_5P.95_2004</w:t>
      </w:r>
    </w:p>
    <w:p>
      <w:r>
        <w:t>FR: TF 5P.95/2004 du 20 août 2004</w:t>
      </w:r>
    </w:p>
    <w:p>
      <w:r>
        <w:t>IT: TF 5P.95/2004 del 20 agosto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Interjeté à temps contre une décision sur opposition au séquestre rendue en dernière instance cantonale (SJ 1998 p. 146 consid. 2, non publié aux ATF 123 III 494 ; arrêt 5P.248/2002 du 18 septembre 2002, consid. 1.1, in: Pra 2003 p. 376), le présent recours est recevable sous l'angle des art. 84 al. 2, 86 al. 1, 87 et 89 al. 1 OJ.</w:t>
      </w:r>
    </w:p>
    <w:p>
      <w:r>
        <w:rPr>
          <w:b/>
        </w:rPr>
        <w:t>E. 1.2</w:t>
      </w:r>
    </w:p>
    <w:p>
      <w:r>
        <w:t>Sous réserve d'exceptions non réalisées en l'espèce (cf. ATF 124 I 327 consid. 4b p. 332/333 et la jurisprudence citée), le recours de droit public est de nature cassatoire et ne peut tendre qu'à l'annulation de la décision attaquée ( ATF 129 I 129 consid. 1.2.1 p. 131/132 et les arrêts cités). Sont, partant, irrecevables les (nombreux) chefs de conclusions de la recourante qui excèdent ce cadre.</w:t>
      </w:r>
    </w:p>
    <w:p>
      <w:r>
        <w:rPr>
          <w:b/>
        </w:rPr>
        <w:t>E. 1.3</w:t>
      </w:r>
    </w:p>
    <w:p>
      <w:r>
        <w:t>L'écriture de la recourante du 29 juin 2003 (recte: 2004) ayant été produite après l'échéance du délai de recours ( art. 89 al. 1 OJ ), elle ne saurait être prise en considération.</w:t>
      </w:r>
    </w:p>
    <w:p>
      <w:r>
        <w:rPr>
          <w:b/>
        </w:rPr>
        <w:t>E. 2</w:t>
      </w:r>
    </w:p>
    <w:p>
      <w:r>
        <w:t>La recourante articule un seul moyen: en niant que le cas de séquestre de l' art. 271 al. 1 ch. 2 LP soit réalisé, la Cour de justice a interprété d'une manière arbitraire la notion de vraisemblance posée à l' art. 272 al. 1 ch. 2 LP .</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177 consid. 2.1 p. 182, 273 consid. 2.1 p. 275 et les arrêts cités).</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supérieure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w:t>
      </w:r>
    </w:p>
    <w:p>
      <w:r>
        <w:rPr>
          <w:b/>
        </w:rPr>
        <w:t>E. 2.2</w:t>
      </w:r>
    </w:p>
    <w:p>
      <w:r>
        <w:t>Aux termes de l' art. 271 al. 1 ch. 2 LP , le créancier d'une dette échue et non garantie par gage peut requérir le séquestre des biens du débiteur qui, dans l'intention de se soustraire à ses obligations, fait disparaître ses biens, s'enfuit ou prépare sa fuite. Cette norme n'ayant subi que des modifications de nature rédactionnelle lors de la révision du 16 décembre 1994 (cf. FF 1991 III 187 ch. 208.1), la jurisprudence rendue sous l'ancien droit reste valable. Le débiteur cèle ses biens, au sens de la disposition précitée, lorsqu'il les dissimule, les donne, les vend à un prix dérisoire ou les transfère à l'étranger ( ATF 119 III 92 consid. 3b p. 93; arrêts 5P.403/1999 du 13 janvier 2000, consid. 2c, et 5P.303/1993 du 6 décembre 1993, consid. 2). Le cas de séquestre doit être réalisé à la date de l'ordonnance ( ATF 54 III 143 p. 145).</w:t>
      </w:r>
    </w:p>
    <w:p>
      <w:r>
        <w:t>Conformément à l' art. 272 al. 1 ch. 2 LP , il suffit que la présence d'un cas de séquestre soit rendue vraisemblable. Il en est ainsi lorsque le juge, se fondant sur des éléments objectifs, a l'impression que les faits pertinents se sont produits, mais sans qu'il doive exclure pour autant la possibilité qu'ils aient pu se dérouler autrement (v. notamment pour les mesures provisionnelles en général: ATF 104 Ia 408 consid. 4a p. 413 et les arrêts cités). Savoir si le degré de vraisemblance exigé par le droit fédéral est atteint dans le cas concret est une question qui relève de l'appréciation des preuves (SJ 1998 p. 146 consid. 3 et l'arrêt cité, non publié aux ATF 123 III 494 ). Dans ce domaine, le Tribunal fédéral reconnaît un large pouvoir aux juridictions cantonales, en sorte que la décision critiquée ne sera annulée que si cette appréciation apparaît insoutenable ( ATF 129 I 8 consid. 2.1 p. 9).</w:t>
      </w:r>
    </w:p>
    <w:p>
      <w:r>
        <w:rPr>
          <w:b/>
        </w:rPr>
        <w:t>E. 2.3.1</w:t>
      </w:r>
    </w:p>
    <w:p>
      <w:r>
        <w:t>La Cour de justice a retenu que, en l'occurrence, la requérante n'avait apporté aucun indice tangible tendant à démontrer la réalité de ses allégations quant aux subterfuges dont userait A.________ pour celer ses biens. Son changement de domicile et la clôture de ses comptes en 1998 auprès de banques françaises ne sont pas décisifs s'agissant d'un séquestre prononcé le 25 juillet 2003; au demeurant, ces éléments ne suffiraient pas à étayer la thèse invoquée à l'appui de la réquisition, la débitrice séquestrée ayant quitté Paris pour s'installer officiellement à Lausanne, où elle réside toujours. Même si l'intéressée effectue de nombreux voyages à l'étranger, rien ne permet d'admettre qu'elle envisage d'abandonner son domicile ou prépare sa fuite. Enfin, il n'est pas établi, même au degré de la vraisemblance, qu'elle aurait reçu tout ou partie de son héritage, ni qu'elle aurait dissimulé de façon quelconque les biens qui en dépendent, par exemple en les transférant à l'étranger, ni procédé à des donations douteuses ou des aliénations insolites.</w:t>
      </w:r>
    </w:p>
    <w:p>
      <w:r>
        <w:rPr>
          <w:b/>
        </w:rPr>
        <w:t>E. 2.3.2</w:t>
      </w:r>
    </w:p>
    <w:p>
      <w:r>
        <w:t>Pour toute argumentation, la recourante se borne à exposer sa propre interprétation des pièces corroborant l'existence d'une célation de biens, ainsi que du comportement de la débitrice séquestrée, mais sans réfuter les motifs de la cour cantonale; appellatoire, le recours est irrecevable dans cette mesure (cf. supra, consid. 2.1). S'appuyant sur un auteur (cf. Gilliéron, Commentaire de la loi fédérale sur la poursuite pour dettes et la faillite, vol. IV, n. 35 ad art. 272 et n. 83 ad art. 278 LP ), elle affirme, au surplus, que la «simple vraisemblance» satisferait aux exigences légales; elle ne dit cependant pas en quoi l'opinion de la cour cantonale, selon laquelle la vraisemblance doit être au contraire appréciée avec sévérité (cf. pour l'existence de la créance: SJ 1998 p. 149 consid. 3b, non publié aux ATF 123 III 494 ; en général: Cometta, Il sequestro nella prassi giudiziaria ticinese, Rep. 133/2000 p. 14 ss et les références citées), serait insoutenable ( art. 90 al. 1 let. b OJ ).</w:t>
      </w:r>
    </w:p>
    <w:p>
      <w:r>
        <w:rPr>
          <w:b/>
        </w:rPr>
        <w:t>E. 3</w:t>
      </w:r>
    </w:p>
    <w:p>
      <w:r>
        <w:t>En conclusion, le présent recours doit être déclaré irrecevable dans son intégralité, avec suite de frais ( art. 156 al. 1 OJ ). Il n'y a pas lieu d'allouer de dépens aux intimés, qui n'ont pas été invités à répondre sur le fond ( art. 159 al. 2 OJ ) et se sont opposés à tort à l'attribution de l'effet suspensif (arrêt 5P.73/2004 du 4 mai 2004,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