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5P.52/2006 vom 1. Juni 2006</w:t>
      </w:r>
    </w:p>
    <w:p>
      <w:r>
        <w:t>Bundesgericht, 2006-06-01, DE</w:t>
      </w:r>
    </w:p>
    <w:p>
      <w:r>
        <w:rPr>
          <w:b/>
        </w:rPr>
        <w:t xml:space="preserve">Quelle: </w:t>
      </w:r>
      <w:r>
        <w:t>https://mcp.opencaselaw.ch/entscheid/bger_5P.52_2006</w:t>
      </w:r>
    </w:p>
    <w:p>
      <w:r>
        <w:t>FR: TF 5P.52/2006 du 1 juin 2006</w:t>
      </w:r>
    </w:p>
    <w:p>
      <w:r>
        <w:t>IT: TF 5P.52/2006 del 1 giugno 2006</w:t>
      </w:r>
    </w:p>
    <w:p>
      <w:pPr>
        <w:pStyle w:val="Heading2"/>
      </w:pPr>
      <w:r>
        <w:t>Erwägungen</w:t>
      </w:r>
    </w:p>
    <w:p>
      <w:r>
        <w:rPr>
          <w:b/>
        </w:rPr>
        <w:t>E. 1.1</w:t>
      </w:r>
    </w:p>
    <w:p>
      <w:r>
        <w:t>Wird in der gleichen Sache sowohl Berufung als auch staatsrechtliche Beschwerde eingereicht, ist in der Regel zuerst über die staatsrechtliche Beschwerde zu befinden und die Entscheidung über die Berufung auszusetzen ( Art. 57 Abs. 5 OG ). Es bestehen keine Gründe, von dieser Praxis abzuweichen.</w:t>
      </w:r>
    </w:p>
    <w:p>
      <w:r>
        <w:rPr>
          <w:b/>
        </w:rPr>
        <w:t>E. 1.2</w:t>
      </w:r>
    </w:p>
    <w:p>
      <w:r>
        <w:t>Mit staatsrechtlicher Beschwerde können - von hier nicht zutreffenden Ausnahmen abgesehen - keine Tatsachen und Beweismittel und auch keine rechtlichen Argumente vorgebracht werden, die nicht bereits im kantonalen Verfahren geltend gemacht worden sind (Novenverbot; BGE 129 I 49 E. 3 S. 57). Somit können der Hinweis auf die zwischenzeitlich erledigten Pfändungen und der hierzu einreichte Beleg nicht berücksichtigt werden.</w:t>
      </w:r>
    </w:p>
    <w:p>
      <w:r>
        <w:rPr>
          <w:b/>
        </w:rPr>
        <w:t>E. 2</w:t>
      </w:r>
    </w:p>
    <w:p>
      <w:r>
        <w:t>Die Beschwerdeführer rügen die willkürliche Feststellung des Sachverhalts durch das Obergericht.</w:t>
      </w:r>
    </w:p>
    <w:p>
      <w:r>
        <w:rPr>
          <w:b/>
        </w:rPr>
        <w:t>E. 2.1</w:t>
      </w:r>
    </w:p>
    <w:p>
      <w:r>
        <w:t>Sie machen geltend, im angefochtenen Urteil sei im Zusammenhang mit dem Lastenverzeichnis in klarem Widerspruch zur tatsächlichen Situation von vorgemerkten Forderungen in der Höhe von insgesamt Fr. 217'275.-- die Rede. Es handle sich indes nur um Pfandrechte, nicht um Forderungen.</w:t>
      </w:r>
    </w:p>
    <w:p>
      <w:r>
        <w:rPr>
          <w:b/>
        </w:rPr>
        <w:t>E. 2.2</w:t>
      </w:r>
    </w:p>
    <w:p>
      <w:r>
        <w:t>Das Obergericht hat in der angesprochenen Passage (S. 17 unten) keine tatsächliche Feststellung getroffen, die auf Willkür geprüft werden könnte ( Art. 9 BV ). Welche Bedeutung dem Lastenverzeichnis zukommt, welche Lasten darin aufzunehmen und vor allem wie diese zu bezeichnen sind, ist eine Frage des Bundesrechts ( Art. 140 SchKG ). Weil das angefochtene Urteil der Berufung unterliegt (vgl. dazu das konnexe Urteil 5C.36+38/2006, E. 1.1), ist folglich auf die zum Bundesrechtsmittel der Berufung subsidiäre staatsrechtliche Beschwerde nicht einzutreten (Art. 43 Abs. 1 und 84 Abs. 2 OG; BGE 120 II 384 E. 4a S. 385), soweit die Beschwerdeführer die Bedeutung der angesprochenen Vormerkungen thematisieren wollen.</w:t>
      </w:r>
    </w:p>
    <w:p>
      <w:r>
        <w:rPr>
          <w:b/>
        </w:rPr>
        <w:t>E. 3</w:t>
      </w:r>
    </w:p>
    <w:p>
      <w:r>
        <w:t>Im Weitern machen die Beschwerdeführer eine Verletzung des rechtlichen Gehörs nach Art. 29 Abs. 2 BV und Art. 6 Ziff. 1 EMRK sowie des in Art. 4 Abs. 2 aBV und Art. 8 Abs. 3 BV statuierten Gleichheitsgebotes geltend.</w:t>
      </w:r>
    </w:p>
    <w:p>
      <w:r>
        <w:rPr>
          <w:b/>
        </w:rPr>
        <w:t>E. 3.1</w:t>
      </w:r>
    </w:p>
    <w:p>
      <w:r>
        <w:t>Sie bringen im Einzelnen vor, nach Art. 17 des Steuergesetzes des Kantons Aargau vom 13. Dezember 1983 habe der Ehemann für die Steuern beider Ehegatten allein gehaftet und die zuständige Behörden hätten für die von den vorliegenden Betreibungsverfahren erfassten Steuerforderungen keine Haftungsverfügung erlassen, obwohl der Schuldner verheiratet sei. Diese Haftungsordnung verstosse gegen den in Art. 4 Abs. 2 lit. a aBV bzw. Art. 8 Abs. 3 BV verankerten Grundsatz der absoluten Gleichheit von Mann und Frau. Die späteren Revisionen des Steuergesetzes änderten daran nichts, da es um Steuerforderungen aus den Jahren 1985 und 1986 gehe.</w:t>
      </w:r>
    </w:p>
    <w:p>
      <w:r>
        <w:rPr>
          <w:b/>
        </w:rPr>
        <w:t>E. 3.2</w:t>
      </w:r>
    </w:p>
    <w:p>
      <w:r>
        <w:t>Soweit die Beschwerdeführer dem Obergericht vorwerfen, auf ihre diesbezüglichen Vorbringen nicht eingegangen zu sein, grenzt die Rüge der Gehörsverletzung angesichts der einlässlichen Darlegung im angefochtenen Urteil (S. 12 und 13) an Mutwilligkeit.</w:t>
      </w:r>
    </w:p>
    <w:p>
      <w:r>
        <w:rPr>
          <w:b/>
        </w:rPr>
        <w:t>E. 3.3</w:t>
      </w:r>
    </w:p>
    <w:p>
      <w:r>
        <w:t>Mit Bezug auf die angebliche Verletzung des Gleichheitsgebots ist den Beschwerdeführern entgegenzuhalten, dass wenn schon der Schuldner - bzw. seine Ehefrau - durch die seinerzeitige Regelung im Aargauer Steuerrecht diskriminiert worden wäre. Hingegen können die Beschwerdeführer als Gläubiger einer Forderung, die mit einem auf der nunmehr gepfändeten Liegenschaft des Schuldners lastenden Grundpfandrecht gesichert ist, durch die gerügte Regelung des damaligen Steuergesetzes von vornherein nicht diskriminiert sein. Sie fallen mit anderen Worten nicht unter den Schutzbereich des verfassungsrechtlichen Gleichheitsgebots, weshalb auf ihre diesbezüglichen Rügen nicht einzutreten ist.</w:t>
      </w:r>
    </w:p>
    <w:p>
      <w:r>
        <w:rPr>
          <w:b/>
        </w:rPr>
        <w:t>E. 4</w:t>
      </w:r>
    </w:p>
    <w:p>
      <w:r>
        <w:t>Zusammenfassend ergibt sich, dass die staatsrechtliche Beschwerde abgewiesen werden muss, soweit darauf eingetreten werden kann. Bei diesem Verfahrensausgang werden die Berufungskläger kosten- und entschädigungspflichtig ( Art. 156 Abs. 1 und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