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5P.522/2006 vom 5. April 2007</w:t>
      </w:r>
    </w:p>
    <w:p>
      <w:r>
        <w:t>Bundesgericht, 2007-04-05, FR</w:t>
      </w:r>
    </w:p>
    <w:p>
      <w:r>
        <w:rPr>
          <w:b/>
        </w:rPr>
        <w:t xml:space="preserve">Quelle: </w:t>
      </w:r>
      <w:r>
        <w:t>https://mcp.opencaselaw.ch/entscheid/bger_5P.522_2006</w:t>
      </w:r>
    </w:p>
    <w:p>
      <w:r>
        <w:t>FR: TF 5P.522/2006 du 5 avril 2007</w:t>
      </w:r>
    </w:p>
    <w:p>
      <w:r>
        <w:t>IT: TF 5P.522/2006 del 5 aprile 2007</w:t>
      </w:r>
    </w:p>
    <w:p>
      <w:pPr>
        <w:pStyle w:val="Heading2"/>
      </w:pPr>
      <w:r>
        <w:t>Erwägungen</w:t>
      </w:r>
    </w:p>
    <w:p>
      <w:r>
        <w:rPr>
          <w:b/>
        </w:rPr>
        <w:t>E. 1.1</w:t>
      </w:r>
    </w:p>
    <w:p>
      <w:r>
        <w:t>La loi fédérale sur le Tribunal fédéral du 17 juin 2005 (LTF; RS 173.110) est entrée en vigueur le 1er janvier 2007 (RO 2005 1242). L'arrêt attaqué ayant été rendu avant cette date, la procédure reste régie par l'OJ ( art. 132 al. 1 LTF ).</w:t>
      </w:r>
    </w:p>
    <w:p>
      <w:r>
        <w:rPr>
          <w:b/>
        </w:rPr>
        <w:t>E. 1.2</w:t>
      </w:r>
    </w:p>
    <w:p>
      <w:r>
        <w:t>Les décisions rendues en matière de mesures protectrices de l'union conjugale ( art. 172 ss CC ) ne constituent pas des décisions finales au sens de l' art. 48 al. 1 OJ et ne peuvent par conséquent pas être entreprises par la voie du recours en réforme ( ATF 127 III 474 consid. 2a et b et les références citées). Le recours est donc recevable sous l'angle de l' art. 84 al. 2 OJ . Formé en temps utile contre un arrêt rendu en dernière instance cantonale par la Cour de justice, il est en outre recevable au regard des art. 86 al. 1 et 89 al. 1 OJ.</w:t>
      </w:r>
    </w:p>
    <w:p>
      <w:r>
        <w:rPr>
          <w:b/>
        </w:rPr>
        <w:t>E. 1.3</w:t>
      </w:r>
    </w:p>
    <w:p>
      <w:r>
        <w:t>Selon l' art. 90 al. 1 let. b OJ , l'acte de recours de droit public doit contenir un exposé succinct des droits constitutionnels ou des principes juridiques violés, précisant en quoi consiste la violation. Saisi d'un recours de droit public, le Tribunal fédéral n'examine que les griefs soulevés de manière claire et détaillée ( ATF 130 I 258 consid. 1.3), le principe iura novit curia étant inapplicable ( ATF 125 I 71 consid. 1c).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128 I 295 consid. 7a; 125 I 492 consid. 1b et les arrêts cités).</w:t>
      </w:r>
    </w:p>
    <w:p>
      <w:r>
        <w:rPr>
          <w:b/>
        </w:rPr>
        <w:t>E. 2</w:t>
      </w:r>
    </w:p>
    <w:p>
      <w:r>
        <w:t>En ce qui concerne la fixation du montant de la contribution d'entretien, la recourante reproche à la cour cantonale d'avoir violé son droit d'être entendue pour avoir retenu, sans le motiver, un montant de 1'200 fr. dans le calcul de ses charges de loyer, alors que la cour avait admis dans la partie "En fait" qu'il fallait tenir compte d'un loyer de 2'000 fr. dans le budget de l'épouse.</w:t>
      </w:r>
    </w:p>
    <w:p>
      <w:r>
        <w:rPr>
          <w:b/>
        </w:rPr>
        <w:t>E. 2.1</w:t>
      </w:r>
    </w:p>
    <w:p>
      <w:r>
        <w:t>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le juge n'a toutefois pas l'obligation d'exposer et de discuter tous les faits, moyens de preuve et griefs invoqués par les parties, mais peut au contraire se limiter à ceux qui, sans arbitraire, apparaissent pertinents ( ATF 129 I 232 consid. 3.2; 126 I 97 consid. 2b; 122 IV 8 consid. 2c et les arrêts cités).</w:t>
      </w:r>
    </w:p>
    <w:p>
      <w:r>
        <w:rPr>
          <w:b/>
        </w:rPr>
        <w:t>E. 2.2</w:t>
      </w:r>
    </w:p>
    <w:p>
      <w:r>
        <w:t>Cette critique est fondée. Après avoir constaté que la recourante avait conservé le domicile conjugal où elle vivait avec deux de ses enfants et qu'elle n'avait jamais fait ménage commun avec le compagnon qu'elle avait fréquenté de juin 2005 à mars 2006, la cour cantonale a considéré qu'il fallait tenir compte, dans le budget de l'épouse, du coût total du loyer de 2'000 fr. Au moment du calcul des charges, sans autre explication, elle n'a cependant comptabilisé qu'un montant de 1'200 fr. Elle n'a pas exposé les motifs pour lesquels elle s'écartait dans une large mesure du montant de 2'000 fr. précédemment retenu. Dans ces conditions, la recourante est dans l'impossibilité de critiquer utilement le loyer pris en compte dans ses charges. Il y a par conséquent violation de l' art. 29 al. 2 Cst. sur ce point et la décision attaquée doit être annulée pour ce motif.</w:t>
      </w:r>
    </w:p>
    <w:p>
      <w:r>
        <w:rPr>
          <w:b/>
        </w:rPr>
        <w:t>E. 3</w:t>
      </w:r>
    </w:p>
    <w:p>
      <w:r>
        <w:t>A toutes fins utiles, il convient d'observer que l'application de l' art. 125 al. 3 CC dans le cadre des mesures protectrices de l'union conjugale paraît douteuse. Aux termes de cette disposition, qui règle l'entretien après le divorce,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w:t>
      </w:r>
    </w:p>
    <w:p>
      <w:r>
        <w:t>Selon la jurisprudence, lorsque, dans le cadre des mesures protectrices de l'union conjugale, on ne peut sérieusement compter sur une reprise de la vie commune, les critères applicables à l'entretien après le divorce doivent être pris en considération pour évaluer l'entretien et, en particulier, la question de la reprise ou de l'augmentation d'une activité lucrative ( ATF 128 III 65 consid. 4). Il s'agit cependant d'une application analogique des éléments énumérés de façon non exhaustive par l' art. 125 al. 2 CC , l'obligation restant régie par l' art. 176 al. 1 ch. 1 CC . Cette disposition ne confère pas la possibilité de refuser ou de réduire la contribution pour des motifs d'équité, à l'instar de ce qui est prévu à l' art. 125 al. 3 CC . En tout état de cause, les prétentions tendant à l'octroi d'une contribution d'entretien, à l'instar de toute prétention fondée sur le droit civil fédéral ( ATF 132 I 249 consid. 5; 83 II 345 consid. 2), sont soumises à la réserve de l' art. 2 al. 2 CC , aux termes duquel l'abus manifeste d'un droit n'est pas protégé par la loi. En l'espèce, il appartiendra par conséquent à la Cour de Justice d'examiner si l'attribution d'une contribution d'entretien à l'époux est compatible avec l'interdiction de l'abus de droit consacrée à l' art. 2 al. 2 CC .</w:t>
      </w:r>
    </w:p>
    <w:p>
      <w:r>
        <w:rPr>
          <w:b/>
        </w:rPr>
        <w:t>E. 4</w:t>
      </w:r>
    </w:p>
    <w:p>
      <w:r>
        <w:t>Vu ce qui précède, le recours doit être admis et l'arrêt attaqué doit être annulé. Cela étant, la demande d'assistance judiciaire de la recourante devient en principe sans objet ( ATF 131 II 72 consid. 4; 109 Ia 5 consid. 5), les dépens étant mis à la charge de l'intimé ( art. 159 al. 1 OJ ; ATF 122 I 322 consid. 2c). Il n'y a pas lieu de prévoir, pour le cas où les dépens seraient irrécupérables, l'indemnisation de l'avocat de la recourante par la Caisse du Tribunal fédéral, dès lors que sa requête d'assistance judiciaire doit être rejetée au vu de sa situation financière actuelle (salaire mensuel net versé douze fois par an : 7'033 fr. et charges mensuelles comprenant le montant de base : 1'100 fr. + le loyer : 2'000 fr. + les cotisations d'assurance-maladie : 385 fr. + les frais de transport : 70 fr. + les impôts : 928 fr., soit 4'483 fr. au total). Même en tenant compte de la contribution d'entretien à son époux, le disponible mensuel lui permet de rémunérer son avocat. Il lui appartenait par ailleurs d'établir et de documenter son indigence ( ATF 125 IV 161 consid. 4a). Elle ne pouvait se contenter d'alléguer qu'elle avait plaidé au bénéfice de l'assistance judiciaire sur le plan cantonal, ce fait n'étant pas déterminant dans la procédure fédérale ( ATF 122 III 392 consid. 3a).</w:t>
      </w:r>
    </w:p>
    <w:p>
      <w:r>
        <w:t>En revanche, il y a lieu d'admettre la demande d'assistance judiciaire de l'intimé. La condition de l'indigence est manifestement remplie et ses conclusions n'apparaissaient pas manifestement vouées à l'échec ( art. 152 al. 1 OJ ). Comme il succombe, il supportera également les frais judiciaires ( art. 156 al. 1 OJ ), lesquels seront provisoirement pris en charge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