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5P.510/2006 vom 6. Februar 2007</w:t>
      </w:r>
    </w:p>
    <w:p>
      <w:r>
        <w:t>Bundesgericht, 2007-02-06, DE</w:t>
      </w:r>
    </w:p>
    <w:p>
      <w:r>
        <w:rPr>
          <w:b/>
        </w:rPr>
        <w:t xml:space="preserve">Quelle: </w:t>
      </w:r>
      <w:r>
        <w:t>https://mcp.opencaselaw.ch/entscheid/bger_5P.510_2006</w:t>
      </w:r>
    </w:p>
    <w:p>
      <w:r>
        <w:t>FR: TF 5P.510/2006 du 6 février 2007</w:t>
      </w:r>
    </w:p>
    <w:p>
      <w:r>
        <w:t>IT: TF 5P.510/2006 del 6 febbraio 2007</w:t>
      </w:r>
    </w:p>
    <w:p>
      <w:pPr>
        <w:pStyle w:val="Heading2"/>
      </w:pPr>
      <w:r>
        <w:t>Erwägungen</w:t>
      </w:r>
    </w:p>
    <w:p>
      <w:r>
        <w:rPr>
          <w:b/>
        </w:rPr>
        <w:t>E. 1</w:t>
      </w:r>
    </w:p>
    <w:p>
      <w:r>
        <w:t>Der Gesuchsteller hat das Revisionsverfahren mit seinem Gesuch vom 12. Dezember 2006 mithin vor Inkrafttreten (1. Januar 2007) des Bundesgesetzes über das Bundesgericht (BGG; SR 173.110; AS 2006 1205, 1243) eingeleitet. Das vorliegende Revisionsverfahren untersteht damit noch dem Bundesrechtspflegegesetz (vgl. Art. 132 Abs. 1 BGG ).</w:t>
      </w:r>
    </w:p>
    <w:p>
      <w:r>
        <w:rPr>
          <w:b/>
        </w:rPr>
        <w:t>E. 2</w:t>
      </w:r>
    </w:p>
    <w:p>
      <w:r>
        <w:t>Der Gesuchsteller stützt sein Gesuch um Revision des bundesgerichtlichen Urteils vom 13. Juli 2006 (5P.199/2006) auf Art. 137 lit. b OG und trägt Zeugenaussagen vor, die ihm erst kürzlich offeriert worden seien. Es handelt sich dabei um die Aussage des Zeugen M.________ vom 27. November 2006 sowie um die Aussagen von N.________ vom 26. November und 8. Dezember 2006. Der Gesuchsteller produziert in diesem Zusammenhang das Affidavit von M.________ vom 27. November 2006 (Gesuchsbeilage 2) sowie die schriftlichen Bestätigungen von N.________ vom 26. November und 8. Dezember 2006 (Gesuchsbeilage 3/1-2); ferner wird die Einvernahme dieser Zeugen, aber auch die Einvernahme von Oberrichter R.________ beantragt (act. 10, S. 3 I., S. 10.). Sodann produziert der Gesuchsteller Photos und diverse weitere Beilagen. Die erwähnten Aussagen sind nach Auffassung des Gesuchstellers geeignet, die Gesuchsgegnerin als Lügnerin hinzustellen und deren Aussagen im Verfahren als unglaubwürdig erscheinen zu lassen (siehe act. 10, S. 15, Schlussfolgerungen).</w:t>
      </w:r>
    </w:p>
    <w:p>
      <w:r>
        <w:rPr>
          <w:b/>
        </w:rPr>
        <w:t>E. 3</w:t>
      </w:r>
    </w:p>
    <w:p>
      <w:r>
        <w:t>Nach Art. 137 lit. b OG ist die Revision bundesgerichtlicher Entscheide zulässig, wenn der Gesuchsteller nachträglich neue erhebliche Tatsachen erfährt oder entscheidende Beweismittel auffindet, die er im früheren Verfahren nicht beibringen konnte.</w:t>
      </w:r>
    </w:p>
    <w:p>
      <w:r>
        <w:rPr>
          <w:b/>
        </w:rPr>
        <w:t>E. 3.1</w:t>
      </w:r>
    </w:p>
    <w:p>
      <w:r>
        <w:t>Im Urteil vom 13. Juli 2006 (5P.199/2006), um dessen Revision nunmehr ersucht wird, hat das Bundesgericht die Staatsvertragsbeschwerde des heutigen Gesuchstellers gegen das Urteil des Obergerichts des Kantons Aargau vom 10. April 2006 abgewiesen, soweit darauf einzutreten war. Das bundesgerichtliche Urteil ersetzte damit nicht den angefochtenen kantonalen Entscheid; dieser ist vielmehr in Kraft geblieben und kann daher hinsichtlich seiner tatsächlichen Feststellungen allenfalls Gegenstand einer Revision nach kantonalem Recht bilden ( BGE 118 Ia 366 E. 2 S. 368 mit Hinweisen). Einem allgemeinen Rechtsgrundsatz entsprechend ist die Revision bei der letzten ordentlichen Rechtsmittelinstanz anzubringen bzw. bei der Behörde, welche in letzter Instanz in der Sache entschieden hat ( BGE 118 Ia 366 E. 2 S. 368; Guldener, Schweizerisches Zivilprozessrecht, 3. Aufl. 1979, S. 532, Fn. 13).</w:t>
      </w:r>
    </w:p>
    <w:p>
      <w:r>
        <w:rPr>
          <w:b/>
        </w:rPr>
        <w:t>E. 3.2</w:t>
      </w:r>
    </w:p>
    <w:p>
      <w:r>
        <w:t>Hat eine Instanz - wie das Bundesgericht am 13. Juli 2006 - über ein ausserordentliches Rechtsmittel befunden, so ist das Revisionsbegehren gegen deren Entscheid zulässig, soweit sich der Revisionsgrund in dieser Instanz verwirklicht hat ( BGE 118 Ia 366 E. 2 S. 368; Poudret/Sandoz-Monod, Commentaire de la loi fédérale d'organisation judiciaire, Band V., 1992, N. 2.1 zu Art. 137 OG , N. 2.2 zu Titel VII; Guldener, Schweizerisches Zivilprozessrecht, a.a.O., S. 532, Fn. 13). Eine Revision des bundesgerichtlichen Urteils gestützt auf Art. 137 lit. b OG ist in diesem Fall zulässig, wenn das Bundesgericht selbst Tatsachen zur Frage der Zulässigkeit des ausserordentlichen Rechtsmittels festgestellt oder die mit der staatsrechtlichen Beschwerde vorgetragenen, neuen Tatsachen und Beweismittel berücksichtigt und diesbezüglich eigene Feststellungen getroffen hat ( BGE 107 Ia 187 E. 2; 118 Ia 366 E. 2 S. 368; Poudret/Sandoz-Monod, a.a.O., S. 25 f. N. 2.1 zu Art. 137 OG ).</w:t>
      </w:r>
    </w:p>
    <w:p>
      <w:r>
        <w:rPr>
          <w:b/>
        </w:rPr>
        <w:t>E. 3.3</w:t>
      </w:r>
    </w:p>
    <w:p>
      <w:r>
        <w:t>Das Bundesgericht hat im Urteil 5P.199/2006 vom 13. Juli 2006 über eine Staatsvertragsbeschwerde entschieden, mit der grundsätzlich weder neue Tatsachen noch neue Beweismittel vorgetragen werden können ( BGE 128 I 357 E. 6c) und in welcher die Überprüfung des Sachverhalts auf Willkür beschränkt ist, wenn sich die Beschwerde - wie im konkreten Fall - gegen den Entscheid einer richterlichen Instanz richtet ( BGE 129 I 110 E. 1.3 S. 111 f.). Vom generellen Novenverbot hat die Praxis zwar bestimmte Ausnahmen zugelassen ( BGE 128 I 357 E. 6c). Doch hat das Bundesgericht weder bezüglich der Eintretensvoraussetzungen noch in Berücksichtigung des vorgenannten Ausnahmekataloges eigene Tatsachenfeststellungen getroffen. In tatsächlicher Hinsicht hat es lediglich geprüft, ob die obergerichtliche Annahme, es seien von der damaligen Beschwerdegegnerin entscheidrelevante Tatsachen glaubhaft gemacht worden, willkürlich sei (Urteil 5C.199/2006 vom 13. Juli 2006, E. 1.2; zur Beschränkung der Sachverhaltsprüfung auf Willkür: BGE 129 I 110 E. 1.3 S. 111 f.). Eine Revision des bundesgerichtlichen Urteils gestützt auf Art. 137 lit. b OG kommt damit nicht in Betracht.</w:t>
      </w:r>
    </w:p>
    <w:p>
      <w:r>
        <w:rPr>
          <w:b/>
        </w:rPr>
        <w:t>E. 4</w:t>
      </w:r>
    </w:p>
    <w:p>
      <w:r>
        <w:t>Soweit der Gesuchsteller das bundesgerichtliche Urteil als geschlechterdiskriminierend beanstandet (act. 10, S. 14 f. Ziff. 25), macht er damit keinen zulässigen Revisionsgrund im Sinne der Art. 136, 137 und Art. 139a OG geltend. Die Revision dient nicht dazu, den Entscheid, den eine Partei für unrichtig hält, umfassend neu zu beurteilen (Escher, Prozessieren vor Bundesgericht, 2. Aufl. 1998, § 8 Rz. 8.1, S. 271).</w:t>
      </w:r>
    </w:p>
    <w:p>
      <w:r>
        <w:rPr>
          <w:b/>
        </w:rPr>
        <w:t>E. 5</w:t>
      </w:r>
    </w:p>
    <w:p>
      <w:r>
        <w:t>Nach dem Gesagten ist auf das Revisionsgesuch nicht einzutreten. Bei diesem Ausgang des Verfahrens wird der Gesuchsteller kostenpflichtig ( Art. 156 Abs. 1 OG ). Beide Parteien sind mit ihren Gesuchen um vorsorgliche Massnahmen bzw. um Sicherstellung nicht durchgedrungen. Im Übrigen ist in der Sache keine Vernehmlassung eingeholt worden. Daher rechtfertigt es sich,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