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5P.490/2006 vom 2. April 2007</w:t>
      </w:r>
    </w:p>
    <w:p>
      <w:r>
        <w:t>Bundesgericht, 2007-04-02, DE</w:t>
      </w:r>
    </w:p>
    <w:p>
      <w:r>
        <w:rPr>
          <w:b/>
        </w:rPr>
        <w:t xml:space="preserve">Quelle: </w:t>
      </w:r>
      <w:r>
        <w:t>https://mcp.opencaselaw.ch/entscheid/bger_5P.490_2006</w:t>
      </w:r>
    </w:p>
    <w:p>
      <w:r>
        <w:t>FR: TF 5P.490/2006 du 2 avril 2007</w:t>
      </w:r>
    </w:p>
    <w:p>
      <w:r>
        <w:t>IT: TF 5P.490/2006 del 2 aprile 2007</w:t>
      </w:r>
    </w:p>
    <w:p>
      <w:pPr>
        <w:pStyle w:val="Heading2"/>
      </w:pPr>
      <w:r>
        <w:t>Erwägungen</w:t>
      </w:r>
    </w:p>
    <w:p>
      <w:r>
        <w:rPr>
          <w:b/>
        </w:rPr>
        <w:t>E. 1.1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1.2</w:t>
      </w:r>
    </w:p>
    <w:p>
      <w:r>
        <w:t>Gemäss Art. 57 Abs. 5 in Verbindung mit Art. 81 OG wird die staatsrechtliche Beschwerde in der Regel vor der betreibungsrechtlichen Beschwerde behandelt. Im vorliegenden Fall besteht kein Grund, anders zu verfahren.</w:t>
      </w:r>
    </w:p>
    <w:p>
      <w:r>
        <w:rPr>
          <w:b/>
        </w:rPr>
        <w:t>E. 1.3</w:t>
      </w:r>
    </w:p>
    <w:p>
      <w:r>
        <w:t>Der angefochtene Entscheid betrifft die Fristwahrung im Lastenbereinigungsverfahren. Er erweist sich als letztinstanzlich. Die staatsrechtliche Beschwerde wegen Verletzung verfassungsmässiger Rechte ist damit gegeben ( Art. 84 Abs. 1 lit. a, Art. 86 Abs. 1 OG ). Nicht einzutreten ist aufgrund des Novenverbotes (vgl. BGE 119 II 6 E. 4a S. 7) allerdings auf den Antrag der Beschwerdeführerin, ein Parteiverhör durchzuführen.</w:t>
      </w:r>
    </w:p>
    <w:p>
      <w:r>
        <w:rPr>
          <w:b/>
        </w:rPr>
        <w:t>E. 2</w:t>
      </w:r>
    </w:p>
    <w:p>
      <w:r>
        <w:t>Die Beschwerdeführerin wirft dem Obergericht die Verletzung ihres rechtlichen Gehörs vor. Es habe ihr keine Gelegenheit gegeben, sich zur Frage der Wiedererwägung des bisherigen Entscheides und zum neuen für sie belastenden Entscheid zu äussern.</w:t>
      </w:r>
    </w:p>
    <w:p>
      <w:r>
        <w:rPr>
          <w:b/>
        </w:rPr>
        <w:t>E. 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125 I 113 E. 3 S. 118; 122 II 464 E. 4a S. 469). 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rPr>
          <w:b/>
        </w:rPr>
        <w:t>E. 2.2</w:t>
      </w:r>
    </w:p>
    <w:p>
      <w:r>
        <w:t>Im vorliegenden Fall hob das Obergericht seinen inzwischen rechtskräftigen Entscheid vom 27. September 2006 teilweise auf, nachdem sich der zuständige Betreibungsbeamte erkundigt hatte, wie dieser zu vollziehen sei. Nach Ansicht des Obergerichts litt der genannte Entscheid an einem unauflösbaren Widerspruch, da dadurch zwar die Beschwerde gegen die Abweisung der Forderungsanmeldung seitens des Betreibungsamtes abgewiesen, zugleich aber die Behandlung dieser Anmeldung angeordnet worden war. Wie in einem solchen Fall zu verfahren ist und inwieweit ein rechtskräftiger Entscheid aufgehoben werden kann, dazu müssen sich die Betroffenen äussern können. Die Beschwerdeführerin ist durch die Aufhebung der Anordnung an das Betreibungsamt in ihrer Rechtstellung als Gläubigerin, deren Forderungsanmeldung zuvor als verspätet abgewiesen war, direkt betroffen. Sie hätte vor Erlass des neuen Entscheides angehört werden müssen, da sich dieser für sie belastend auswirkt. Indem das Obergericht ihr keine Gelegenheit gegeben hatte, sich zum Verfahren und Entscheid zu äussern, verletzte sie das rechtliche Gehör der Beschwerdeführerin. Der angefochtene Entscheid ist somit aufzuheben, ohne das die von der Beschwerdeführerin überdies geltend gemachte Verletzung des Grundsatzes von Treu und Glauben noch zu prüfen wäre.</w:t>
      </w:r>
    </w:p>
    <w:p>
      <w:r>
        <w:rPr>
          <w:b/>
        </w:rPr>
        <w:t>E. 3</w:t>
      </w:r>
    </w:p>
    <w:p>
      <w:r>
        <w:t>Nach dem Gesagten ist der staatsrechtlichen Beschwerde Erfolg beschieden. Da die Beschwerdegegnerin weder am kantonalen Verfahren teilgenommen noch vor Bundesgericht sich hat vernehmen lassen, sind ihr weder Kosten noch eine Parteientschädigung aufzuerlegen. Dem unterliegenden Kanton werden in der Regel keine Kosten auferlegt ( Art. 156 Abs. 2 OG ), hingegen ist er zur Leistung einer Parteientschädigung an die Beschwerdeführerin verpflichtet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