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5P.468/2006 vom 28. März 2007</w:t>
      </w:r>
    </w:p>
    <w:p>
      <w:r>
        <w:t>Bundesgericht, 2007-03-28, DE</w:t>
      </w:r>
    </w:p>
    <w:p>
      <w:r>
        <w:rPr>
          <w:b/>
        </w:rPr>
        <w:t xml:space="preserve">Quelle: </w:t>
      </w:r>
      <w:r>
        <w:t>https://mcp.opencaselaw.ch/entscheid/bger_5P.468_2006</w:t>
      </w:r>
    </w:p>
    <w:p>
      <w:r>
        <w:t>FR: TF 5P.468/2006 du 28 mars 2007</w:t>
      </w:r>
    </w:p>
    <w:p>
      <w:r>
        <w:t>IT: TF 5P.468/2006 del 28 marzo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Der Entscheid über die Sicherstellung der künftigen Unterhaltsbeiträge nach Art. 132 Abs. 2 ZGB betrifft zwar die Zeit nach der Scheidung. Diese Anordnung kann indes auch im Massnahmenverfahren nach Art. 137 Abs. 2 ZGB getroffen werden. Praxisgemäss liegt in einem solchen Fall kein Endentscheid nach Art. 48 OG vor, womit einzig die staatsrechtliche Beschwerde gegeben ist ( BGE 126 III 261 E. 1). Dies muss von der Sache her auch für den Sicherstellungsentscheid gelten. Der angefochtene Beschluss erweist sich als letztinstanzlich ( Art. 86 Abs. 1 OG ). Damit ist die staatsrechtliche Beschwerde gegeben. Nicht Gegenstand des vorliegenden Verfahrens bildet indes das erstinstanzliche Urteil. Damit ist auf die Vorwürfe gegen die Prozessführung des Gerichtspräsidenten und die Rüge der Gehörsverweigerung nicht einzutreten.</w:t>
      </w:r>
    </w:p>
    <w:p>
      <w:r>
        <w:rPr>
          <w:b/>
        </w:rPr>
        <w:t>E. 2</w:t>
      </w:r>
    </w:p>
    <w:p>
      <w:r>
        <w:t>Das Kantonsgericht hat vorab festgestellt, dass das Urteil des Gerichtspräsidenten keine Rechtsmittelbelehrung enthalte. Gestützt auf eine Analyse der kantonalen Rechtslage ist es zum Schluss gekommen, dass gegen Entscheide über Sicherheitsleistungen nicht die Beschwerde, sondern einzig das ordentliche Rechtsmittel der Appellation gegeben sei. Die Rechtsschrift des Beschwerdeführers werde daher als Appellation entgegengenommen und die Einhaltung der diesbezüglichen Formvorschriften geprüft. Das angefochtene Urteil sei im beschleunigten Verfahren ergangen, weshalb die Appellationsfrist § 216 Abs. 3 lit. c ZPO zufolge drei Tage betrage. Die Eingabe des Beschwerdeführers sei jedoch innert zehn Tagen ab Erhalt des Urteils erfolgt und die gesetzliche Appellationsfrist damit verpasst. Aufgrund der fehlenden Rechtsmittelbelehrung habe der Beschwerdeführer davon ausgehen können, dass kein ordentliches Rechtsmittel gegeben sei. Daraus dürfe ihm nach dem Grundsatz von Treu und Glauben ( Art. 9 BV ) kein Nachteil erwachsen, es sei denn, er hätte den Fehler selber erkannt oder bei zumutbarer Sorgfalt erkennen müssen. Im vorliegenden Fall habe der anwaltlich vertretene Beschwerdeführer die Problematik des zulässigen Rechtsmittels von Anfang an erkannt und sich dahingehend geäussert, dass die Appellation zulässig sei. Nachdem er selber einen Eventualantrag gestellt habe, seine Beschwerde als Appellation entgegen zu nehmen, wäre es ihm auch zuzumuten gewesen, rechtzeitig zu appellieren, zumal hierfür eine Erklärung genügt hätte und im Gegensatz zur Beschwerde keine Begründung erforderlich gewesen wäre. Nun habe er aber nur die zehntägige Beschwerdefrist respektiert, obwohl sich aus der massgeblichen Verfahrensbestimmung ohne weiteres ergebe, dass die Rechtsmittelfrist für die Appellation nur drei Tage betrage. Somit trete zur fehlenden Rechtsmittelbelehrung der ersten Instanz noch eine grobe prozessuale Unsorgfalt des Beschwerdeführers hinzu, welche den Behördenfehler aufwiege und eine Verlängerung der Appellationsfrist ausschliesse. Demzufolge sei auf das als Appellation entgegenzunehmende Rechtsmittel infolge Verspätung nicht einzutreten.</w:t>
      </w:r>
    </w:p>
    <w:p>
      <w:r>
        <w:rPr>
          <w:b/>
        </w:rPr>
        <w:t>E. 3</w:t>
      </w:r>
    </w:p>
    <w:p>
      <w:r>
        <w:t>Der Beschwerdeführer rügt eine Verletzung des Grundsatzes von Treu und Glauben ( Art. 5 Abs. 3 und Art. 9 BV ) sowie des Anspruchs auf ein gerechtes Verfahren ( Art. 29 Abs. 1 BV ), welches auch jeden überspitzten Formalismus ausschliesse. Er macht geltend, das im konkreten Fall gegebene Rechtsmittel sei weder aus dem Wortlaut der massgebenden Erlasse (EG ZGB und ZPO des Kantons Basel-Landschaft) noch den einschlägigen Gesetzesmaterialien erkennbar, sondern erst aufgrund der unpublizierten Praxis des Kantonsgerichts. Daraus dürfe ihm kein Nachteil erwachsen. Zwar habe er eventualiter beantragt, die Beschwerde als Appellation zu behandeln. Dass er dabei die dreitägige Appellationsfrist nicht in Betracht gezogen habe, dürfe ihm ebenfalls nicht zum Nachteil gereichen.</w:t>
      </w:r>
    </w:p>
    <w:p>
      <w:r>
        <w:rPr>
          <w:b/>
        </w:rPr>
        <w:t>E. 3.1</w:t>
      </w:r>
    </w:p>
    <w:p>
      <w:r>
        <w:t>Der Grundsatz von Treu und Glauben ( Art. 9 BV ) verschafft einen Anspruch auf Schutz berechtigten Vertrauens in behördliche Zusicherungen oder sonstiges, bestimmte Erwartungen begründendes Verhalten, sofern sich dieses auf eine konkrete, den betreffenden Bürger berührende Angelegenheit bezieht ( BGE 130 I 26 E. 8.1 S. 60; 129 II 361 E. 7.1). Hat die Behörde dem Empfänger eines Entscheides eine falsche Rechtsmittelbelehrung erteilt, so darf ihm daraus kein Nachteil erwachsen, wenn er gutgläubig ist ( BGE 118 Ia 223 E. 2). Konnte er den Fehler bei zumutbarer Sorgfalt selber feststellen, so kann er sich nicht darauf berufen. Dies trifft vor allem dann zu, wenn sich das im konkreten Fall zulässige Rechtsmittel bereits aus der Konsultation des Gesetzes ergibt. Diese Regeln gelten auch, wenn der eröffnete Entscheid vorschriftswidrig gar keine Rechtsmittelbelehrung enthält (Weber-Dürler, Neuere Entwicklungen des Vertrauensschutzes, ZBl 6/2002, S. 292 ff. mit Hinweisen).</w:t>
      </w:r>
    </w:p>
    <w:p>
      <w:r>
        <w:rPr>
          <w:b/>
        </w:rPr>
        <w:t>E. 3.2.1</w:t>
      </w:r>
    </w:p>
    <w:p>
      <w:r>
        <w:t>Nach § 212 Abs. 1 ZPO /BL werden Urteile den Parteien mündlich oder schriftlich eröffnet. Gleichzeitig werden die Parteien mündlich oder schriftlich auf das Rechtsmittel der Appellation und dessen Voraussetzungen aufmerksam gemacht. Nach unbestrittener Auffassung des Kantonsgerichts ist im vorliegenden Fall die Appellation gegeben, womit der Bezirksgerichtspräsident seiner Pflicht zur Rechtsmittelbelehrung keine Beachtung geschenkt hat. Soweit das Kantonsgericht davon ausgeht, der Beschwerdeführer habe mit der Appellation als zulässigem Rechtsmittel gerechnet, so ist damit für den vorliegenden Fall nichts gewonnen. Als entscheidend erweist sich, dass der Beschwerdeführer nicht von einer dreitägigen Appellationsfrist ausgegangen ist, sondern vielmehr angenommen hat, die Appellation könne innert zehn Tagen ergriffen werden. Im Weiteren gilt es daher zu prüfen, ob er die geltende Frist bei zumutbarer Sorgfalt hätte feststellen können.</w:t>
      </w:r>
    </w:p>
    <w:p>
      <w:r>
        <w:rPr>
          <w:b/>
        </w:rPr>
        <w:t>E. 3.2.2</w:t>
      </w:r>
    </w:p>
    <w:p>
      <w:r>
        <w:t>Während der Bezirksgerichtspräsident sich zum Verfahren nicht äussert, in welchem über Begehren nach Art. 132 Abs. 2 ZGB zu befinden ist, ergehen entsprechende Urteile nach Auffassung des Kantonsgerichts im beschleunigten Verfahren. Zwar ist nach § 216 Abs. 3 lit. c ZPO /BL die dreitägige Appellationsfrist namentlich auf beschleunigte Verfahren anwendbar. Doch wird die Sicherstellung nach Art. 132 Abs. 2 ZGB in § 261 ZPO , welcher die im beschleunigten Verfahren zu beurteilenden Fälle aufzählt, nicht erwähnt. Im Lichte dieser gesetzlichen Bestimmungen erweist sich die dreitägige Appellationsfrist mithin keineswegs als evident, wie das Kantonsgericht annimmt; bei der gesetzlichen Unklarheit bleibt unerfindlich, wie der Beschwerdeführer bei zumutbarer Sorgfalt innert nützlicher Frist hätte herausfinden können, dass die Frist zur Einreichung der Appellation im vorliegenden Fall nicht zehn, sondern drei Tage beträgt; im Lichte von Art. 9 BV war er jedenfalls nicht gehalten, Nachforschungen in der kantonalen Rechtsprechung oder den Gesetztesmaterialien anzustellen. Vor dem aufgezeigten Hintergrund kann ihm unter Berücksichtigung der äussert kurzen Frist keine Verletzung der zumutbaren Sorgfalt angelastet werden, welche die Lückenhaftigkeit des Gesetzes bzw. die unterbliebene Rechtsmittelbelehrung aufzuwiegen vermöchte. Somit bleibt es dabei, dass dem Beschwerdeführer aus der fehlenden Rechtsmittelbelehrung kein Nachteil erwachsen darf. Die Beschwerde ist gutzuheissen und der angefochtene Beschluss aufzuheben. Das Kantonsgericht wird nunmehr die Appellation zu behandeln haben.</w:t>
      </w:r>
    </w:p>
    <w:p>
      <w:r>
        <w:rPr>
          <w:b/>
        </w:rPr>
        <w:t>E. 4</w:t>
      </w:r>
    </w:p>
    <w:p>
      <w:r>
        <w:t>Der Beschwerdeführer obsiegt mit seiner Beschwerde. Die Beschwerdegegnerin hat in der Sache keinen Antrag gestellt. Zudem beruht die Gutheissung der Beschwerde auf einem Verfahrensfehler, den keine Partei zu verantworten hat. Da dem Kanton keine Kosten aufzuerlegen sind ( Art. 156 Abs. 2 OG ), ist von der Erhebung einer Gerichtsgebühr abzusehen.</w:t>
      </w:r>
    </w:p>
    <w:p>
      <w:r>
        <w:t>Angesichts der aufgezeigten Umstände hat der Kanton den Beschwerdeführer für das bundesgerichtliche Verfahren zu entschädigen ( Art. 159 Abs. 1 OG ). Der Beschwerdegegnerin, die in der Sache keinen Antrag gestellt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