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5P.459/2002 vom 29. Januar 2003</w:t>
      </w:r>
    </w:p>
    <w:p>
      <w:r>
        <w:t>Bundesgericht, 2003-01-29, FR</w:t>
      </w:r>
    </w:p>
    <w:p>
      <w:r>
        <w:rPr>
          <w:b/>
        </w:rPr>
        <w:t xml:space="preserve">Quelle: </w:t>
      </w:r>
      <w:r>
        <w:t>https://mcp.opencaselaw.ch/entscheid/bger_5P.459_2002</w:t>
      </w:r>
    </w:p>
    <w:p>
      <w:r>
        <w:t>FR: TF 5P.459/2002 du 29 janvier 2003</w:t>
      </w:r>
    </w:p>
    <w:p>
      <w:r>
        <w:t>IT: TF 5P.459/2002 del 29 gennaio 2003</w:t>
      </w:r>
    </w:p>
    <w:p>
      <w:pPr>
        <w:pStyle w:val="Heading2"/>
      </w:pPr>
      <w:r>
        <w:t>Erwägungen</w:t>
      </w:r>
    </w:p>
    <w:p>
      <w:r>
        <w:rPr>
          <w:b/>
        </w:rPr>
        <w:t>E. 1</w:t>
      </w:r>
    </w:p>
    <w:p>
      <w:r>
        <w:t>La décision prononçant ou refusant en dernière instance cantonale ( art. 86 al. 1 OJ ) la mainlevée - provisoire ou définitive - de l'opposition est une décision finale qui peut faire l'objet d'un recours de droit public ( ATF 120 Ia 256 consid. 1a; 111 III 8 consid. 1; 98 Ia 348 consid. 1, 527 consid. 1 et les arrêts cités; 94 I 365 consid. 3). Le recours est par conséquent recevable de ce chef. Interjeté en temps utile, il est également recevable au regard de l' art. 89 al. 1 OJ .</w:t>
      </w:r>
    </w:p>
    <w:p>
      <w:r>
        <w:rPr>
          <w:b/>
        </w:rPr>
        <w:t>E. 2.1</w:t>
      </w:r>
    </w:p>
    <w:p>
      <w:r>
        <w:t>Après avoir rappelé l'argumentation qu'il avait présentée devant la cour cantonale (cf. lettre C supra), le recourant soutient que cette motivation n'aurait été que très peu prise en compte dans l'arrêt attaqué, lequel ne dit pas que la compensation ne pouvait pas être invoquée, mais seulement qu'il ne peut être tenu compte des pièces produites en seconde instance. Or en première instance, le recourant avait invoqué la compensation comme preuve libératoire, et il avait produit un décompte d'honoraires d'architecte qui se référait directement au jugement rendu le 12 juillet 1990 par la Cour d'appel du canton de Berne, jugement qui reconnaissait au recourant une créance de 41'500 fr. ainsi que 4'092 fr. de dépens contre C.________. Selon le recourant, ce jugement ne constituerait ainsi pas une preuve nouvelle vu qu'il l'avait déjà mentionnée dans ses déterminations adressées au premier juge. Celui-ci aurait dû, afin de respecter le droit d'être entendu, considérer cette détermination comme une offre de preuve et impartir au poursuivi un délai pour produire cette dernière. De même, le Tribunal cantonal aurait dû examiner la preuve libératoire de la compensation; en se contentant d'exposer les faits et d'invoquer l'irrecevabilité des preuves nouvelles, il aurait commis un déni de justice formel. Enfin, toujours selon le recourant, l'application du droit de procédure cantonal relèverait du formalisme excessif en empêchant l'application conforme du droit fédéral : en effet, le recourant a invoqué la preuve libératoire de la compensation en se référant à un jugement entré en force, la première instance n'en a pas tenu compte en disant qu'il n'y avait pas de preuve par titre, et lorsque ce titre a été produit, la deuxième instance l'a déclaré irrecevable car produit tardivement selon l'art. 58 LVLP.</w:t>
      </w:r>
    </w:p>
    <w:p>
      <w:r>
        <w:rPr>
          <w:b/>
        </w:rPr>
        <w:t>E. 2.2</w:t>
      </w:r>
    </w:p>
    <w:p>
      <w:r>
        <w:t>Ces arguments tombent à faux pour les raisons exposées ci-après.</w:t>
      </w:r>
    </w:p>
    <w:p>
      <w:r>
        <w:rPr>
          <w:b/>
        </w:rPr>
        <w:t>E. 2.2.1</w:t>
      </w:r>
    </w:p>
    <w:p>
      <w:r>
        <w:t>Lorsque le créancier est au bénéfice d'un jugement exécutoire, le juge prononce la mainlevée définitive de l'opposition ( art. 80 al. 1 LP ), sauf si l'opposant peut se prévaloir d'un des moyens prévus par l' art. 81 LP . L'opposant peut ainsi prouver par titre que la dette a été éteinte; la preuve de l'extinction par compensation (cf. art. 120 ss CO ) ne peut être apportée que par la production de titres qui justifieraient eux-mêmes la mainlevée définitive ou à tout le moins la mainlevée provisoire ( ATF 115 III 97 consid. 4; Daniel Staehelin, in: Kommentar zum Bundesgesetz über Schuldbetreibung und Konkurs, n. 4 ad art. 81 LP ; Panchaud/Caprez, La mainlevée d'opposition, 1980, § 144 ch. 3).</w:t>
      </w:r>
    </w:p>
    <w:p>
      <w:r>
        <w:t>En l'espèce, contrairement aux affirmations du recourant, il n'est pas fait la moindre allusion au jugement rendu le 12 juillet 1990 par la Cour d'appel du canton de Berne ni dans les déterminations adressées le 24 juin 2002 par le recourant au premier juge, ni dans la "récapitulation du 02.06.1992" jointe à ces déterminations. La récapitulation en question n'est qu'un document établi par le recourant lui-même, qui ne comporte aucune reconnaissance de dette de la part de C.________ et ne constituerait ainsi manifestement pas un titre de mainlevée provisoire (cf. ATF 122 III 125 consid. 2 in limine et les références citées). Dans ces conditions, la cour cantonale pouvait sans arbitraire retenir que l'extinction par compensation de la créance déduite en poursuite n'avait pas été établie sur la base du dossier tel que constitué en première instance.</w:t>
      </w:r>
    </w:p>
    <w:p>
      <w:r>
        <w:rPr>
          <w:b/>
        </w:rPr>
        <w:t>E. 2.2.2</w:t>
      </w:r>
    </w:p>
    <w:p>
      <w:r>
        <w:t>En ce qui concerne la deuxième instance, l'art. 58 al. 3 de loi d'application dans le canton de Vaud de la loi fédérale sur la poursuite pour dettes et la faillite (LVLP; RSV 2.9 A) prévoit très clairement que dans le recours au Tribunal cantonal, cour des poursuites et faillites, il ne peut être administré de nouvelles preuves en matière de mainlevée d'opposition. Or le jugement rendu le 12 juillet 1990 par la Cour d'appel du canton de Berne constituait manifestement une nouvelle preuve, puisque, comme on l'a vu (cf. consid. 2.2.1 supra), le recourant n'y avait pas fait la moindre allusion devant le premier juge.</w:t>
      </w:r>
    </w:p>
    <w:p>
      <w:r>
        <w:t>L'application de l'art. 58 al. 3 LVLP par la cour cantonale ne procède pas d'un formalisme excessif. En effet, selon la jurisprudence,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 ATF 125 I 166 consid. 3a; 121 I 177 consid. 2b/aa et les références citées). Tel n'est manifestement pas le cas en l'espèce, où il ne tenait qu'au recourant de produire le jugement de la Cour d'appel du canton de Berne devant le juge de la mainlevée. Il sied de relever que les règles sur l'interdiction des nova devant la juridiction supérieure, qui existent dans de nombreuses voies de recours, visent précisément à garantir, par la rigueur et l'économie de la procédure, la réalisation efficace du droit matériel, de sorte qu'il ne saurait être question à cet égard de formalisme excessif (cf. arrêt non publié 1P.504/1988 du 3 novembre1988, consid. 3).</w:t>
      </w:r>
    </w:p>
    <w:p>
      <w:r>
        <w:rPr>
          <w:b/>
        </w:rPr>
        <w:t>E. 3</w:t>
      </w:r>
    </w:p>
    <w:p>
      <w:r>
        <w:t>Il résulte de ce qui précède que le recours, mal fondé, doit être rejeté. Partant, le recourant, qui succombe, supportera les frais judiciaires ( art. 156 al. 1 OJ ). Il n'y a en revanche pas lieu d'allouer de dépens dès lors que l'intimé n'a pas été invité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