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5P.458/2002 vom 4. September 2003</w:t>
      </w:r>
    </w:p>
    <w:p>
      <w:r>
        <w:t>Bundesgericht, 2003-09-04, FR</w:t>
      </w:r>
    </w:p>
    <w:p>
      <w:r>
        <w:rPr>
          <w:b/>
        </w:rPr>
        <w:t xml:space="preserve">Quelle: </w:t>
      </w:r>
      <w:r>
        <w:t>https://mcp.opencaselaw.ch/entscheid/bger_5P.458_2002</w:t>
      </w:r>
    </w:p>
    <w:p>
      <w:r>
        <w:t>FR: TF 5P.458/2002 du 4 septembre 2003</w:t>
      </w:r>
    </w:p>
    <w:p>
      <w:r>
        <w:t>IT: TF 5P.458/2002 del 4 settembre 2003</w:t>
      </w:r>
    </w:p>
    <w:p>
      <w:pPr>
        <w:pStyle w:val="Heading2"/>
      </w:pPr>
      <w:r>
        <w:t>Regeste</w:t>
      </w:r>
    </w:p>
    <w:p>
      <w:r>
        <w:t>Droit des poursuites et faillites</w:t>
      </w:r>
    </w:p>
    <w:p>
      <w:pPr>
        <w:pStyle w:val="Heading2"/>
      </w:pPr>
      <w:r>
        <w:t>Erwägungen</w:t>
      </w:r>
    </w:p>
    <w:p>
      <w:r>
        <w:rPr>
          <w:b/>
        </w:rPr>
        <w:t>E. 1</w:t>
      </w:r>
    </w:p>
    <w:p>
      <w:r>
        <w:t>Les contestations relatives au mode de traitement des préposés des offices des poursuites et des faillites, notamment à leurs prétentions à l'égard du canton, ressortissent au droit public cantonal ( art. 3 LP ), et non à l'Ordonnance sur les émoluments perçus en application de la loi fédérale sur la poursuite pour dettes et la faillite (OELP; RS 281.35); le présent recours est, dès lors, recevable de ce chef (arrêt 5P.470/2001, consid. 1a). Déposé à temps contre une décision finale prise en dernière instance cantonale, il l'est aussi au regard des art. 86 al. 1, 87 (a contrario) et 89 al. 1 OJ.</w:t>
      </w:r>
    </w:p>
    <w:p>
      <w:r>
        <w:rPr>
          <w:b/>
        </w:rPr>
        <w:t>E. 2</w:t>
      </w:r>
    </w:p>
    <w:p>
      <w:r>
        <w:t>D'après l'autorité cantonale, la constitution de réserves volontaires de cotisations patronales LPP pour le personnel de l'office a été tolérée par l'Inspection cantonale des finances «pour une valeur maximale de cinq ans de cotisations patronales», dans la mesure où ces réserves devaient être progressivement dissoutes dès 1992 par le paiement des cotisations patronales LPP relatives aux employés de l'office, et ce jusqu'à épuisement de ces réserves. Conformément aux dispositions légales, l'Inspection cantonale des finances a émis des directives pour la dissolution des réserves existantes au début 1998; ces directives ne font que concrétiser l'accord intervenu entre le préposé et l'Inspection cantonale des finances, et règlent les modalités de la dissolution et de l'utilisation des réserves constituées antérieurement par le préposé, d'entente avec l'Inspection cantonale des finances, à charge pour l'intéressé de les affecter au paiement des cotisations patronales LPP. En outre, le préposé ne soutient pas que la dissolution des réserves ne serait pas conforme à l'accord passé avec l'Inspection cantonale des finances, ni que les modalités de cette dissolution contreviendraient à une quelconque norme légale. Enfin, les critiques du préposé sont de nature purement appellatoire et contraires aux exigences de motivation du droit de procédure cantonal.</w:t>
      </w:r>
    </w:p>
    <w:p>
      <w:r>
        <w:rPr>
          <w:b/>
        </w:rPr>
        <w:t>E. 3</w:t>
      </w:r>
    </w:p>
    <w:p>
      <w:r>
        <w:t>Le recourant qualifie d'arbitraire ( art. 9 Cst. ) la manière dont ont été traitées les réserves de cotisations patronales LPP qu'il a constituées sous l'ancien droit. Depuis le 1er janvier 1997, son revenu est plafonné à 150'000 fr., et ne correspond plus au rendement net de l'office; la dissolution et la correction des comptes 1999 décidées par l'Inspection cantonale des finances auraient donc pour résultat de faire passer son revenu de 150'000 fr. à 67'432 fr. 20 (150'000 fr. - 82'567 fr. 80 [ce dernier montant équivaut à la dissolution ordonnée pour 1999]), ce qui est choquant et présente un aspect confiscatoire. En effet, d'une part, l'Etat profite de la dissolution des réserves constituées par le préposé sur son propre revenu; d'autre part, il perçoit plus que la différence entre le rendement brut de l'office et les charges d'exploitation d'un exercice annuel. Un tel résultat apparaît non seulement contraire à la nouvelle législation, mais ne repose au surplus sur aucune disposition transitoire. Il n'y a pas lieu d'examiner le mérite de ce grief, car le recours doit être admis pour un autre motif (infra, consid. 4).</w:t>
      </w:r>
    </w:p>
    <w:p>
      <w:r>
        <w:rPr>
          <w:b/>
        </w:rPr>
        <w:t>E. 4</w:t>
      </w:r>
    </w:p>
    <w:p>
      <w:r>
        <w:t>Le recourant se plaint aussi d'une violation de l' art. 26 Cst. Il soutient que les réserves litigieuses lui appartiennent, en fait et en droit, même si elles sont affectées à un but déterminé (le paiement des cotisations patronales), et sont déposées auprès d'une fondation de prévoyance; par conséquent, l'Etat intimé ne pouvait, sans base légale expresse et suffisante, en disposer.</w:t>
      </w:r>
    </w:p>
    <w:p>
      <w:r>
        <w:rPr>
          <w:b/>
        </w:rPr>
        <w:t>E. 4.1</w:t>
      </w:r>
    </w:p>
    <w:p>
      <w:r>
        <w:t>Il est constant que les réserves de cotisations patronales LPP ont été constituées sur la base de l' art. 331 al. 3 CO par prélèvement sur le rendement brut de l'office; nonobstant son statut d'employé de l'Etat du Valais (arrêt du TFA dans la cause B 6/88 du 14 décembre 1989), le recourant a, à l'instar d'un employeur privé, financé volontairement ces réserves de ses propres deniers, leur constitution ayant entraîné une diminution correspondante de son revenu. Que le but d'une telle opération ait été de présenter un revenu «politiquement acceptable» est sans pertinence à cet égard. De même, le fait que l'intéressé ne soit pas «propriétaire» - au sens juridique - des sommes placées sur le compte de la fondation de prévoyance professionnelle (cf. Brühwiler, Die betriebliche Personalvorsorge in der Schweiz, Berne 1989, p. 100 n. 13) ne l'empêche pas de se prévaloir de la garantie constitutionnelle de la propriété (cf. ATF 120 Ia 120 consid. 1b p. 121 et les références citées). En instance cantonale, l'Inspection cantonale des finances a fait valoir que, sous l'empire du nouveau droit, les «cotisations LPP n'incombent ni au préposé ni à l'Etat, mais sont portées à la charge du compte d'exploitation de l'OPF». Sur un plan purement comptable, l'affirmation est exacte. Il n'en demeure pas moins que la dissolution des réserves de cotisations constituées sous l'ancien droit bénéficie exclusivement à l'Etat depuis le 1er janvier 1997, car l'utilisation des avoirs en question pour payer des charges sociales qui sont désormais prélevées sur le rendement brut de l'office a pour effet une augmentation de la part qui revient à l'Etat en vertu de l'art. 14 al. 4 OLALP/VS; autrement dit, cet excédent s'accroît par économie de dépenses au moyen des réserves constituées par le recourant (sur cette forme d'enrichissement sans cause, v. notamment: von Tuhr/Peter, Allg. Teil des Schweizerischen Obligationenrechts, vol. I, § 52 II 2 et les citations). Une telle opération s'analyse en une atteinte à la garantie de la propriété.</w:t>
      </w:r>
    </w:p>
    <w:p>
      <w:r>
        <w:rPr>
          <w:b/>
        </w:rPr>
        <w:t>E. 4.2</w:t>
      </w:r>
    </w:p>
    <w:p>
      <w:r>
        <w:t>La décision de l'Inspection cantonale des finances, entérinée par le Conseil d'Etat puis le Tribunal cantonal, ne repose sur aucune base légale (sur cette exigence: Vallender, in: Die schweizerische Bundesverfassung, Kommentar, n. 38 ss ad art. 26). La nouvelle loi se borne à prohiber «[l]a constitution de réserves de cotisations d'employeur au sens de l'article 331, alinéa 3 du code des obligations», mais elle ne prévoit aucune norme transitoire pour celles qui ont été constituées sous l'ancien droit. La juridiction précédente le reconnaît implicitement; aussi se réfère-t-elle à un «accord intervenu antérieurement entre le préposé et l'IF», que les «directives [émises en novembre 1997] ne faisaient que concrétiser». Mais force est de constater que l'on ignore tout de cet «accord», dont l'autorité cantonale n'a pas même examiné la licéité (sur cette problématique: Moor, Droit administratif, vol. I: Les fondements généraux, 2e éd., ch. 2.3.4 p. 136 ss); en l'état, il n'est dès lors pas possible d'affirmer que cette convention reste pertinente pour régler le sort des réserves litigieuses - ce que nie le recourant -, ni qu'elle aurait valablement pallié l'absence de base légale.</w:t>
      </w:r>
    </w:p>
    <w:p>
      <w:r>
        <w:rPr>
          <w:b/>
        </w:rPr>
        <w:t>E. 5</w:t>
      </w:r>
    </w:p>
    <w:p>
      <w:r>
        <w:t>En conclusion, le recours doit être admis et l'arrêt attaqué annulé. Les dépens sont mis à la charge de la collectivité publique intimée ( art. 159 al. 1 OJ ; ATF 125 I 389 consid. 5 p. 393), à l'exception de l'émolument de justice ( art. 156 al. 2 OJ ; arrêt 5P.470/2001,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