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5P.441/2006 vom 26. März 2007</w:t>
      </w:r>
    </w:p>
    <w:p>
      <w:r>
        <w:t>Bundesgericht, 2007-03-26, FR</w:t>
      </w:r>
    </w:p>
    <w:p>
      <w:r>
        <w:rPr>
          <w:b/>
        </w:rPr>
        <w:t xml:space="preserve">Quelle: </w:t>
      </w:r>
      <w:r>
        <w:t>https://mcp.opencaselaw.ch/entscheid/bger_5P.441_2006</w:t>
      </w:r>
    </w:p>
    <w:p>
      <w:r>
        <w:t>FR: TF 5P.441/2006 du 26 mars 2007</w:t>
      </w:r>
    </w:p>
    <w:p>
      <w:r>
        <w:t>IT: TF 5P.441/2006 del 26 marzo 2007</w:t>
      </w:r>
    </w:p>
    <w:p>
      <w:pPr>
        <w:pStyle w:val="Heading2"/>
      </w:pPr>
      <w:r>
        <w:t>Regeste</w:t>
      </w:r>
    </w:p>
    <w:p>
      <w:r>
        <w:t>art. 9 + 29 Cst. (modification d'un jugement de divorce) | Droit de la famille</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132 III 747 consid. 4 p. 748).</w:t>
      </w:r>
    </w:p>
    <w:p>
      <w:r>
        <w:rPr>
          <w:b/>
        </w:rPr>
        <w:t>E. 2.1</w:t>
      </w:r>
    </w:p>
    <w:p>
      <w:r>
        <w:t>Déposé en temps utile contre une décision en matière de modification d'un jugement de divorce, prise en dernière instance cantonale, pour violation des art. 9 et 29 al. 2 Cst. , le présent recours de droit public est recevable du chef des art. 84 al. 1 let. a, 84 al. 2, 86 al. 1, 87 (a contrario) et 89 al. 1 OJ.</w:t>
      </w:r>
    </w:p>
    <w:p>
      <w:r>
        <w:rPr>
          <w:b/>
        </w:rPr>
        <w:t>E. 2.2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129 I 113 consid. 2.1 p. 120; 128 I 295 consid. 7a p. 312; 125 I 492 consid. 1b p. 495 et les arrêts cités).</w:t>
      </w:r>
    </w:p>
    <w:p>
      <w:r>
        <w:rPr>
          <w:b/>
        </w:rPr>
        <w:t>E. 3</w:t>
      </w:r>
    </w:p>
    <w:p>
      <w:r>
        <w:t>Dans son arrêt du 26 mars 2004 (5P.3/2004), le Tribunal fédéral a constaté que, pour calculer les revenus de l'intimé et, partant, la réduction de la contribution à sa charge, la Cour de justice - dans son arrêt du 14 novembre 2003 - n'avait pas du tout pris en considération sa fortune et n'avait pas non plus déterminé à combien celle-ci s'élevait, même si elle avait exposé quelques éléments à ce sujet dans la partie "en fait" de son arrêt, paraissant considérer implicitement qu'aucun revenu ne pouvait en être tiré. Le Tribunal fédéral a en outre relevé que la cour cantonale n'avait pas indiqué pour quels motifs elle avait rejeté la requête de production de pièces complémentaires et d'expertise de la recourante, qu'il ne ressortait pas de l'arrêt attaqué que l'intimé aurait versé aux débats l'ensemble des éléments nécessaires à la détermination de l'utilisation de sa fortune et qu'il n'en résultait pas non plus que la cour cantonale aurait considéré que tel ait été le cas. Ainsi, il a estimé qu'il n'était pas en mesure de s'acquitter de sa tâche consistant à contrôler que la motivation de la décision cantonale était conforme à la Constitution, en particulier que l'autorité cantonale n'était pas tombée dans l'arbitraire en refusant la production de pièces destinées à établir la fortune de l'ex-époux. Le grief de la recourante - qui reprochait à la cour cantonale de ne pas avoir ordonné la production de pièces ou une expertise pour établir la situation de fortune réelle de son ex-époux et, subsidiairement, de ne pas avoir motivé le rejet de cette offre de preuve - a été admis pour défaut de motivation. L'arrêt attaqué a ainsi été annulé en ce qui concerne le montant de la contribution due à la recourante.</w:t>
      </w:r>
    </w:p>
    <w:p>
      <w:r>
        <w:rPr>
          <w:b/>
        </w:rPr>
        <w:t>E. 4</w:t>
      </w:r>
    </w:p>
    <w:p>
      <w:r>
        <w:t>Après avoir renvoyé la cause au Tribunal de première instance pour complément d'instruction et nouveau jugement, la Cour de justice a, sur appel de la recourante et appel incident de l'intimé, confirmé le "nouveau" jugement de première instance du 17 novembre 2005 fixant la contribution d'entretien due à la recourante à 1'700 fr. par mois. Dans son arrêt (présentement attaqué), la cour cantonale a notamment déterminé le solde disponible de l'intimé, soit 1'882 fr. par mois (revenus: 5'400 fr. - charges: 3'518 fr., et non pas 2'518 fr. comme mentionné). Elle a également exposé sa situation de fortune, retraçant l'évolution de celle-ci au cours des dernières années. Se fondant sur les informations à sa disposition - qu'elle a jugées suffisantes pour fixer le montant de la pension à verser à la recourante -, la cour cantonale a estimé qu'il convenait de retenir que les moyens financiers de l'intimé se limitaient exclusivement à son revenu de 5'400 fr. par mois.</w:t>
      </w:r>
    </w:p>
    <w:p>
      <w:r>
        <w:rPr>
          <w:b/>
        </w:rPr>
        <w:t>E. 5</w:t>
      </w:r>
    </w:p>
    <w:p>
      <w:r>
        <w:t>La recourante reproche tout d'abord à la Cour de justice d'avoir refusé d'ordonner une expertise comptable visant à établir l'état réel de la fortune de son ex-mari; elle invoque à cet égard la violation de son droit d'être entendue et, pour le cas où son grief devrait plutôt être examiné sous l'angle de l'arbitraire, la violation de l' art. 9 Cst.</w:t>
      </w:r>
    </w:p>
    <w:p>
      <w:r>
        <w:rPr>
          <w:b/>
        </w:rPr>
        <w:t>E. 5.1</w:t>
      </w:r>
    </w:p>
    <w:p>
      <w:r>
        <w:t>Dans les contestations civiles, le droit à la preuve découle directement de l' art. 8 CC ( ATF 129 III 18 consid. 2.6 p. 24/25; 126 III 315 consid. 4a p. 317; 114 II 289 consid. 2a p. 290 et les arrêts cités). Le grief de violation du droit à la preuve peut ainsi être soulevé par la voie du recours en réforme ( art. 43 al. 1 OJ ) lorsque, comme en l'espèce, celui-ci est ouvert; il ne saurait par conséquent l'être dans un recours de droit public ( art. 84 al. 2 OJ ). En revanche, lorsque le juge renonce à administrer une preuve sur la base d'une appréciation anticipée des preuves, c'est bien la voie du recours de droit public qui est ouverte pour se plaindre du caractère arbitraire d'une telle appréciation ( art. 9 Cst. ; ATF 131 I 153 consid. 3 p. 157 et les arrêts cités; 114 II 289 consid. 2a p. 291 et les arrêts cités).</w:t>
      </w:r>
    </w:p>
    <w:p>
      <w:r>
        <w:rPr>
          <w:b/>
        </w:rPr>
        <w:t>E. 5.2</w:t>
      </w:r>
    </w:p>
    <w:p>
      <w:r>
        <w:t>Il ressort de l'arrêt attaqué que la Cour de justice a, pour déterminer la fortune de l'intimé, fait état des éléments suivants: opérations immobilières effectuées entre 1995 et 2003, avoirs bancaires avec évolution des soldes (depuis 1996), déclarations fiscales et avis de taxation (depuis 1996), déclaration sur l'honneur de l'intimé du 24 octobre 2004 (institution du droit français), dans laquelle il indique ne plus avoir de fortune immobilière et ne disposer que d'un compte bancaire alimenté par ses retraites. Elle a considéré que l'examen des pièces produites par l'intimé donnait une image précise des variations de sa fortune mobilière et immobilière, ainsi que de ses revenus; elle a constaté que sa fortune et ses revenus avaient diminué de façon telle, entre 1996 et 2004, qu'ils n'étaient plus suffisants pour être imposés. La cour cantonale a précisé que sa fortune n'était plus constituée que de trois comptes bancaires affichant un total de 10'894 fr. Elle a en outre rappelé que ces chiffres avaient fait l'objet d'une vérification par l'administration et que l'intimé avait été mis au bénéfice de l'assistance judiciaire pour la procédure cantonale. Elle en a conclu que le prononcé d'une expertise s'avérait inutile, la requête de la recourante poursuivant en définitive un but exploratoire. Elle a constaté finalement que, même si les explications données par l'intimé au sujet de la variation de sa fortune (brute) entre 1999 et 2000 - 1'757'617 fr. en 1999 et 316'404 fr. en 2000 - étaient peu claires (cessation de son activité professionnelle au 1er janvier 1999), il n'en demeurait pas moins que, jusqu'au 25 octobre 2000, celui-ci s'était acquitté ponctuellement de la contribution initialement fixée (8'199 fr. par mois à cette époque, compte tenu de l'indexation), et qu'il avait diminué le montant de cette contribution suite à la diminution de ses revenus après sa retraite.</w:t>
      </w:r>
    </w:p>
    <w:p>
      <w:r>
        <w:rPr>
          <w:b/>
        </w:rPr>
        <w:t>E. 5.3</w:t>
      </w:r>
    </w:p>
    <w:p>
      <w:r>
        <w:t>La recourante se borne à objecter qu'elle a la conviction que l'intimé n'a pas déclaré l'ensemble de ses biens et qu'il est titulaire d'avoirs non déclarés, sous la forme de biens mobiliers ou immobiliers, de comptes bancaires, de créances etc. Une telle critique, formulée de façon générale et constituant une simple appréciation personnelle de la situation, ne satisfait pas aux exigences de l' art. 90 al. 1 let. b OJ (cf. consid. 2.3); elle se révèle dès lors irrecevable.</w:t>
      </w:r>
    </w:p>
    <w:p>
      <w:r>
        <w:rPr>
          <w:b/>
        </w:rPr>
        <w:t>E. 6</w:t>
      </w:r>
    </w:p>
    <w:p>
      <w:r>
        <w:t>La recourante se plaint en outre de ce que la Cour de justice a refusé d'ordonner l'audition de témoins, en particulier la seconde ex-épouse de l'intimé - afin qu'elle précise et fournisse les pièces concernant sa propre fortune dans le couple - et les membres de la fiduciaire, chargée d'établir la déclaration fiscale de l'intimé. A cet égard, elle invoque la violation de son droit d'être entendue et, pour le cas où son grief devrait plutôt être examiné sous l'angle de l'arbitraire, la violation de l' art. 9 Cst. Elle reproche en outre à la cour cantonale de ne pas s'être exprimée spécifiquement sur sa requête d'audition de témoins et d'avoir ainsi violé le droit d'être entendu également sous son aspect de droit à une décision motivée. Il ressort de l'arrêt attaqué que, le 7 juin 2005, devant le Tribunal de première instance, la recourante s'est réservée le droit de demander une expertise et que, dans ses dernières conclusions du 7 octobre 2005, toujours devant le Tribunal de première instance, elle a préalablement conclu à ce qu'une expertise comptable portant sur la fortune de l'intimé en 1983, et de 1991 au 25 octobre 2000, soit ordonnée. En revanche, il ne ressort ni de l'arrêt attaqué ni du dossier que la recourante aurait conclu à l'audition des témoins qu'elle mentionne dans son recours de droit public; à ce sujet, elle s'est limitée à demander au Tribunal de première instance de lui réserver la possibilité de le faire et, dans son recours en appel, elle a simplement mentionné qu'il aurait fallu permettre d'interroger l'intimé et des tiers à propos des pièces produites, sans autres précisions. Ainsi, son grief est nouveau et, partant, irrecevable au regard de l' art. 86 al. 1 OJ (cf. ATF 126 I 257 consid. 1a p. 258).</w:t>
      </w:r>
    </w:p>
    <w:p>
      <w:r>
        <w:rPr>
          <w:b/>
        </w:rPr>
        <w:t>E. 7</w:t>
      </w:r>
    </w:p>
    <w:p>
      <w:r>
        <w:t>La recourante relève également que l'arrêt attaqué a retenu que la fortune brute de l'intimé était de 1'757'617 fr. en 1999 et de 316'404 fr. en 2000, d'où une diminution de 1'441'213 fr. Elle estime donc qu'il est insoutenable d'admettre que l'intimé s'est vraiment dessaisi de sa fortune parce qu'il lui a versé une pension jusqu'en octobre 2000, ce d'autant plus qu'elle a chiffré l'arriéré qui lui était dû en septembre 2001 à 177'000 fr.</w:t>
      </w:r>
    </w:p>
    <w:p>
      <w:r>
        <w:rPr>
          <w:b/>
        </w:rPr>
        <w:t>E. 7.1</w:t>
      </w:r>
    </w:p>
    <w:p>
      <w:r>
        <w:t>La recourante invoquait déjà cette diminution de fortune dans son recours en appel cantonal, soutenant que l'intimé ne l'avait pas expliquée et qu'elle ne pouvait se justifier par le seul paiement de la pension qu'il lui devait. L'intimé n'a fourni aucune explication dans sa réponse à l'appel, se bornant à citer des passages du jugement de première instance.</w:t>
      </w:r>
    </w:p>
    <w:p>
      <w:r>
        <w:rPr>
          <w:b/>
        </w:rPr>
        <w:t>E. 7.2</w:t>
      </w:r>
    </w:p>
    <w:p>
      <w:r>
        <w:t>Dans l'arrêt attaqué, la Cour de justice retient que, même si les explications données par l'intimé au sujet de la variation de sa fortune entre 1999 et 2000 sont peu claires (cessation de son activité professionnelle au 1er janvier 1999), il n'en demeure pas moins que, jusqu'au 25 octobre 2000, il s'est acquitté ponctuellement de la contribution initialement fixée (8'199 fr. par mois à cette époque, compte tenu de l'indexation), et qu'il a diminué le montant de cette contribution suite à la diminution de ses revenus après sa retraite. Dans sa réponse au recours de droit public, l'intimé ne fournit pas d'explications autres que celles qu'il a toujours données, soit le fait qu'il a déjà produit tous les justificatifs requis, qu'il a dû faire face à d'importants frais d'avocat pour se défendre, qu'il a cessé de travailler à fin 1998, devant tout de même assumer le montant de ses charges, et qu'il a dû continuer à verser la contribution d'entretien de la recourante et ce, compte tenu d'un revenu de 5'400 fr. par mois, en puisant dans sa fortune. La motivation de la Cour de justice est arbitraire puisqu'elle laisse une différence de fortune inexpliquée de plus de 1'400'000 fr. La contribution à l'entretien de l'ex-épouse ayant été fixée au seul disponible de 1'700 fr. de l'intimé, cela entraîne en outre un résultat arbitraire (sur la notion d'arbitraire, cf. ATF 132 III 209 consid. 2.1 p. 211).</w:t>
      </w:r>
    </w:p>
    <w:p>
      <w:r>
        <w:rPr>
          <w:b/>
        </w:rPr>
        <w:t>E. 8</w:t>
      </w:r>
    </w:p>
    <w:p>
      <w:r>
        <w:t>La recourante constate finalement que la vente de l'appartement de la rue C.________ à Genève, en 1995, a rapporté 1'600'000 fr. et que seuls 625'000 fr. ont été réinvestis dans l'achat d'un nouvel appartement. Elle prétend qu'une investigation supplémentaire s'impose concernant l'utilisation du produit de la vente de l'appartement. Cette critique n'ayant pas été spécialement soulevée dans le recours en appel cantonal, elle est irrecevable, faute d'épuisement des griefs ( art. 86 al. 1 OJ ; cf. ATF 126 I 257 consid. 1a p. 258).</w:t>
      </w:r>
    </w:p>
    <w:p>
      <w:r>
        <w:rPr>
          <w:b/>
        </w:rPr>
        <w:t>E. 9</w:t>
      </w:r>
    </w:p>
    <w:p>
      <w:r>
        <w:t>En conclusion, le recours doit être partiellement admis, dans la mesure où il est recevable, et l'arrêt attaqué annulé dans le sens des considérants. Dans sa réponse au recours, l'intimé sollicite le bénéfice de l'assistance judiciaire. Il allègue que ses revenus s'élèvent à 5'743 fr. (conversion des euros à 1.56), ses charges à 4'174 fr. 40 et que sa fortune est de 0 fr.; il fait état de dettes, sans les chiffrer. Il fournit, en annexe, la demande d'assistance judiciaire adressée au service de l'assistance juridique genevois le 18 mai 2005 et, en vrac, toute une série de pièces. Etant donné que le présent recours est partiellement admis parce que la différence de fortune entre 1999 et 2000, de plus de 1'400'000 fr., demeure inexpliquée (cf. consid. 7), qu'il résulte de la dernière taxation fiscale de 2003 que l'intimé produit à l'appui de sa requête d'assistance judiciaire à la cour de céans qu'il est encore propriétaire d'un immeuble à l'étranger pour une valeur de 136'000 fr., qu'il ne produit pas de documents plus récents à cet égard - comme exigé par la jurisprudence (cf. ATF 125 IV 161 consid. 4a p. 164/165) -, qu'il ne démontre pas qu'il ne pourrait pas engager ou obtenir un prêt sur la base de cet élément de fortune (cf. ATF 119 Ia 11 consid. 5a p. 12/13 et les arrêts cités), sa requête d'assistance judiciaire doit être rejetée (cf. art. 152 al. 1 OJ ). Le fait qu'il a plaidé au bénéfice de l'assistance judiciaire sur le plan cantonal n'y change rien ( ATF 122 III 392 consid. 3a p. 393). Vu l'issue de la procédure, les frais judiciaires seront répartis par moitié entre les parties ( art. 156 al. 3 OJ ). Il n'y a pas lieu d'allouer de dépens à la recourante, qui a procédé sans recourir à un mandataire professionnel. Celle-ci versera en revanche des dépens réduits à l'intimé qui s'est déterminé sur le recours avec l'assistance d'un avocat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