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5P.427/2003 vom 12. Dezember 2003</w:t>
      </w:r>
    </w:p>
    <w:p>
      <w:r>
        <w:t>Bundesgericht, 2003-12-12, DE</w:t>
      </w:r>
    </w:p>
    <w:p>
      <w:r>
        <w:rPr>
          <w:b/>
        </w:rPr>
        <w:t xml:space="preserve">Quelle: </w:t>
      </w:r>
      <w:r>
        <w:t>https://mcp.opencaselaw.ch/entscheid/bger_5P.427_2003</w:t>
      </w:r>
    </w:p>
    <w:p>
      <w:r>
        <w:t>FR: TF 5P.427/2003 du 12 décembre 2003</w:t>
      </w:r>
    </w:p>
    <w:p>
      <w:r>
        <w:t>IT: TF 5P.427/2003 del 12 dicembre 2003</w:t>
      </w:r>
    </w:p>
    <w:p>
      <w:pPr>
        <w:pStyle w:val="Heading2"/>
      </w:pPr>
      <w:r>
        <w:t>Erwägungen</w:t>
      </w:r>
    </w:p>
    <w:p>
      <w:r>
        <w:rPr>
          <w:b/>
        </w:rPr>
        <w:t>E. 1</w:t>
      </w:r>
    </w:p>
    <w:p>
      <w:r>
        <w:t>Das Obergericht hält dafür, die Verteilung der Prozesskosten sei nach Massgabe von Obsiegen und Unterliegen gemäss § 112 Abs. 1 ZPO /AG vorzunehmen. Bei der Beurteilung der für die Kostenverteilung wesentlichen Frage, wer im Verfahren obsiegt hätte, ist es alsdann zum Schluss gelangt, die Klage hätte keine Aussicht auf Erfolg gehabt. Das Dispositiv des Urteils des Gerichtspräsidiums Zurzach vom 13. Mai 2002 sei dem Beschwerdegegner am 17. Mai 2002 zugestellt worden; die innert zehn Tagen verlangte Ausfertigung des begründeten Urteils habe er am 17. Juni 2002 erhalten, weshalb die Unterhaltsbeiträge entgegen der Auffassung von Beschwerdeführerin und Vorinstanz erst ab diesem Zeitpunkt vollstreckbar und fällig gewesen seien. Die Beschwerdeführerin habe dem Beschwerdegegner am 10. Juni 2002 Frist bis zum 18. Juni 2002 zur Bezahlung des für den Monat Juni 2002 noch ausstehenden Betrages gesetzt und überdies die Anweisung an die Arbeitgeberin angedroht, falls der Aufforderung nicht statt gegeben werde. Das genannte Schreiben sei vor der Zustellung des begründeten Urteils (17. Juni 2002) erfolgt und die Unterhaltsbeiträge zum Zeitpunkt des Schreibens somit noch gar nicht vollstreckbar und fällig gewesen. Daher sei der Beschwerdegegner auch nicht verpflichtet gewesen, auf das Schreiben zu reagieren. Am 21. Juni 2002 habe die Beschwerdeführerin das Begehren um Anweisung gestellt und dem Beschwerdegegner mithin lediglich vier Tage seit Fälligkeit der Beiträge gewährt, um die Unterhaltsnachzahlungen (Differenzzahlungen zwischen den geleisteten und den richterlich festgesetzten Beiträgen) für die Monate Mai und Juni 2002 zu tätigen. Diese Frist sei indessen zu kurz bemessen, um bei deren Nichteinhaltung eine ernsthafte Gefährdung künftiger Unterhaltszahlungen anzunehmen. Die Anweisung nach Art. 177 ZGB hätte unter solchen Umständen als unverhältnismässig unterbleiben müssen.</w:t>
      </w:r>
    </w:p>
    <w:p>
      <w:r>
        <w:t>Die Beschwerdeführerin wirft dem Obergericht vor, dessen Argumentation beruhe auf einer willkürlichen Auslegung von § 298 Abs. 4 ZPO /AG. Der Hinweis auf diese Bestimmung sei offensichtlich widersprüchlich, sehe sie doch vielmehr ausdrücklich vor, dass in Unterhaltssachen einem noch nicht definitiven und später durch das Obergericht möglicherweise abgeänderten Entscheid eines Gerichtspräsidiums vorläufige Vollstreckbarkeit zukomme. Auch im summarischen Verfahren könne das Gerichtspräsidium seinen Entscheid den Parteien vorerst im Dispositiv eröffnen (§ 299 i.V.m. § 277 ZPO /AG). In § 298 Abs. 4 ZPO werde nicht zwischen einem begründeten und einem vorläufig im Dispositiv erlassenen Entscheid unterschieden. Die obergerichtliche Auffassung lasse sich überdies auch nicht durch die Materialien stützen; danach gehe es bei § 298 Abs. 4 ZPO /AG gerade darum, das direkte Inkasso der Unterhaltsbeiträge zu ermöglichen, zumal der Ehegatte auch bei streitigen Unterhaltsbeiträgen für die Kinder sorgen müsse. Die obergerichtliche Begründung lasse sich schliesslich auch nicht durch den Grundsatz rechtfertigen, dass ein Entscheid ohne Angabe von Entscheidgründen keine Wirkung entfalte.</w:t>
      </w:r>
    </w:p>
    <w:p>
      <w:r>
        <w:rPr>
          <w:b/>
        </w:rPr>
        <w:t>E. 2.1</w:t>
      </w:r>
    </w:p>
    <w:p>
      <w:r>
        <w:t>Die obergerichtliche Begründung erweckt in der Tat Bedenken. Mit seinem Verweis auf § 298 Abs. 4 ZPO /AG geht das Obergericht davon aus, dass die Eheschutzmassnahmen im summarischen Verfahren erlassen werden. Nach § 298 Abs. 4 ZPO /AG hemmt die Beschwerde - gegenteilige Anordnung des Instruktionsrichters des Obergerichts vorbehalten - Rechtskraft und Vollstreckbarkeit namentlich dann nicht, wenn - wie hier - mit dem Entscheid Unterhaltsbeiträge zugesprochen werden. Bei der Beschwerde gegen Entscheide erster Instanz über Unterhaltsbeiträge im Rahmen von Eheschutzmassnahmen handelt es sich demnach um ein ausserordentliches Rechtsmittel (zum Charakter des Rechtsmittels nach § 298 Abs. 4 ZPO /AG siehe: Markus Roth, Das summarische Verfahren in der Zivilprozessordnung des Kantons Aargau vom 18. Dezember 1984, Diss. Bern 1993, S. 173). Dem angefochtenen Entscheid lässt sich nicht entnehmen, dass der Instruktionsrichter des Obergerichts eine gegenteilige Anordnung getroffen und der Beschwerde aufschiebende Wirkung zuerkannt hätte. Nach § 277 ZPO /AG kann der Gerichtspräsident als Einzelrichter die schriftliche Eröffnung auf die Zustellung des Urteilsspruchs (Dispositiv) beschränken mit dem Hinweis, dass das Urteil rechtskräftig wird, wenn innert zehn Tagen keine Partei eine vollständige Ausfertigung verlangt. Diese Art der Eröffnung des Urteils gilt grundsätzlich auch für das summarische Verfahren (Bühler/Edelmann/Killer, Kommentar zur aargauischen Zivilprozessordnung, 2. Aufl. 1998, N. 1 zu § 298 ZPO /AG). Im vorliegenden Fall hat das Gerichtspräsidium dem Beschwerdegegner den Entscheid vom 13. Mai 2002 am 17. Mai 2002 im Dispositiv zugestellt. Mit der Zustellung des Dispositivs erwuchs das Urteil des Gerichtspräsidiums in Rechtskraft. Dieser im Dispositiv zugestellte rechtskräftige Entscheid gilt als Vollstreckungstitel im Sinne von Art. 80 SchKG (vgl. Poudret/Sandoz-Monod, Commentaire de la loi fédérale d'organisation judiciaire, Band I, 1990, N. 1.5 zu Art. 37 OG ). Daran ändert nichts, dass § 277 ZPO /AG den Parteien eine Frist von 10 Tagen seit Zustellung des Dispositivs einräumt, um eine begründete Ausfertigung des Urteils zu verlangen. Ein Entscheid ist jedoch nur dann wegen Willkür aufzuheben, wenn er nicht nur in der Begründung, sondern auch im Ergebnis unhaltbar ist ( BGE 127 I 54 E. 2b S. 56 ; 128 I 81 E. 2 S. 86). Davon kann hier freilich keine Rede sein:</w:t>
      </w:r>
    </w:p>
    <w:p>
      <w:r>
        <w:rPr>
          <w:b/>
        </w:rPr>
        <w:t>E. 2.2</w:t>
      </w:r>
    </w:p>
    <w:p>
      <w:r>
        <w:t>Kommt ein Ehegatte seiner familienrechtlichen Unterhaltspflicht nicht nach, so kann sein Schuldner vom Richter gestützt auf Art. 177 ZGB angewiesen werden, seine Zahlungen ganz oder teilweise dem andern Ehegatten zu leisten. Bei der Anweisung handelt es sich um eine einschneidende Massnahme, die nicht leichtfertig angeordnet werden darf. Sie erweist sich namentlich dann als unverhältnismässig, wenn nur ausnahmsweise ein Unterhaltsbeitrag ganz oder teilweise ausbleibt oder sich verzögert und darin kein Indiz für künftige Wiederholungen erblickt werden kann (statt vieler: Hausheer/Reusser/Geiser, Berner Kommentar, N. 8 zu Art. 177 ZGB ). Laut den nicht als willkürlich beanstandeten Feststellungen des Obergerichts hat der Beschwerdegegner die Differenz zwischen den geleisteten und den richterlich festgesetzten Beiträgen für die Monate Mai und Juni 2002 nicht geleistet. Dem angefochtenen Entscheid lassen sich überdies keine Anhaltspunkte dafür entnehmen, dass auch danach Unterhaltszahlungen gänzlich unterblieben oder nur in reduziertem Umfang geleistet worden sind. Dem Obergericht kann unter den gegebenen Umständen nicht vorgeworfen werden, es habe aufgrund der summarischen Prüfung und Würdigung des aktenkundigen Sach- und Streitstandes im Zeitpunkt des Eintrittes des Erledigungsgrundes (vgl. dazu: Addor, Die Gegenstandslosigkeit des Rechtsstreits, Bern 1997, S. 225) im Ergebnis einen willkürlichen Kostenentscheid gefällt.</w:t>
      </w:r>
    </w:p>
    <w:p>
      <w:r>
        <w:rPr>
          <w:b/>
        </w:rPr>
        <w:t>E. 3</w:t>
      </w:r>
    </w:p>
    <w:p>
      <w:r>
        <w:t>Damit ist die staatsrechtliche Beschwerde abzuweisen. Bei diesem Ausgang des Verfahrens wird die Beschwerdeführerin kostenpflichtig ( Art. 156 Abs. 1 OG ). Sie schuldet der Gegenpartei für das bundesgerichtliche Verfahren keine Entschädigung, da keine Vernehmlassung eingeholt worden ist.</w:t>
      </w:r>
    </w:p>
    <w:p>
      <w:r>
        <w:rPr>
          <w:b/>
        </w:rPr>
        <w:t>E. 4</w:t>
      </w:r>
    </w:p>
    <w:p>
      <w:r>
        <w:t>Da sich die Beschwerde nach den Erwägungen nicht als von Anfang an aussichtslos erwiesen hat und die Beschwerdeführerin nachgewiesen als bedürftig gilt, ist dem Gesuch um unentgeltliche Rechtspflege zu entsprechen. Der Beschwerdeführerin wird ein Rechtsanwalt beigeordnet, welcher für seine Bemühungen im bundesgerichtlichen Verfahren aus der Bundesgerichtskasse zu entschädigen ist. Die auf die Beschwerdeführerin entfallende Gerichtsgebühr ist einstweilen auf die Bundesgerichtskasse zu nehmen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