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5P.425/2000 vom 23. Januar 2001</w:t>
      </w:r>
    </w:p>
    <w:p>
      <w:r>
        <w:t>Bundesgericht, 2001-01-23, FR</w:t>
      </w:r>
    </w:p>
    <w:p>
      <w:r>
        <w:rPr>
          <w:b/>
        </w:rPr>
        <w:t xml:space="preserve">Quelle: </w:t>
      </w:r>
      <w:r>
        <w:t>https://mcp.opencaselaw.ch/entscheid/bger_5P.425_2000</w:t>
      </w:r>
    </w:p>
    <w:p>
      <w:r>
        <w:t>FR: TF 5P.425/2000 du 23 janvier 2001</w:t>
      </w:r>
    </w:p>
    <w:p>
      <w:r>
        <w:t>IT: TF 5P.425/2000 del 23 gennaio 2001</w:t>
      </w:r>
    </w:p>
    <w:p>
      <w:pPr>
        <w:pStyle w:val="Heading2"/>
      </w:pPr>
      <w:r>
        <w:t>Regeste</w:t>
      </w:r>
    </w:p>
    <w:p>
      <w:r>
        <w:t>Droit de la famille</w:t>
      </w:r>
    </w:p>
    <w:p>
      <w:pPr>
        <w:pStyle w:val="Heading2"/>
      </w:pPr>
      <w:r>
        <w:t>Erwägungen</w:t>
      </w:r>
    </w:p>
    <w:p>
      <w:r>
        <w:rPr>
          <w:b/>
        </w:rPr>
        <w:t>E. 1</w:t>
      </w:r>
    </w:p>
    <w:p>
      <w:r>
        <w:t>Le Tribunal fédéral examine d'office et avec une pleine cognition la recevabilité des recours qui lui sont soumis ( ATF 126 I 81 consid. 1a; 126 III 274 consid. 1; 125 II 293 consid. 1a et les arrêts cités). a) La décision attaquée a été rendue en application du droit cantonal, soit des art. 42 ss de la loi genevoise sur la profession d'avocat du 15 mars 1985 (RSLG E 6.10), qui instituent la commission de taxation des honoraires des avocats, déterminent sa compétence et la procédure à suivre. Le caractère subsidiaire du recours de droit public ( art. 84 al. 2 OJ ) est respecté, les griefs invoqués ne pouvant être soumis par une autre voie de droit au Tribunal fédéral ou à une autre autorité fédérale. Formé en temps utile contre une décision qui n'est pas susceptible de recours cantonal (art. 44 al. 2 de la loi sur la profession d'avocat) et qui concerne le recourant personnellement, le recours est aussi recevable au regard des art. 86 al. 1, 88 et 89 al. 1 OJ. b) S'agissant d'une décision incidente, il faut examiner si les conditions posées par l' art. 87 OJ sont remplies. Selon cette disposition, le recours de droit public est recevable contre les décisions préjudicielles et incidentes sur la compétence et sur les demandes de récusation, prises séparément (al. 1); contre d'autres décisions préjudicielles et incidentes prises séparément, il n'est recevable que s'il peut en résulter un préjudice irréparable (al. 2). Le Message du Conseil fédéral concernant la mise en vigueur de la nouvelle Constitution fédérale et les adaptations législatives consécutives du 11 août 1999 confirme le texte clair de la loi (FF 1999 p. 7161). Un dommage est irréparable, au sens de l' art. 87 OJ , si la décision incidente doit causer à l'intéressé un préjudice juridique qu'une décision favorable ne ferait pas disparaître entièrement ( ATF 123 I 325 consid. 3c p. 328). Dans la mesure où la commission de taxation se déclare compétente pour trancher la demande de taxation du curateur de représentation, le recours vise une décision incidente sur la compétence et, à cet égard, il est recevable. Quant à l'ordre donné au recourant de produire l'intégralité de son dossier, il ne paraît pas de nature à causer un préjudice irréparable. On ne voit pas, en effet, quel dommage pourrait causer la transmission d'un dossier d'avocat à l'autorité chargée de taxer les honoraires de l'avocat concerné. Il s'agit seulement de mettre à disposition de l'autorité compétente les éléments nécessaires à sa décision. Le fait que le curateur de représentation pourra en avoir connaissance n'est pas constitutif d'un dommage, car ce curateur aura cette information en qualité de représentant officiel du mandant, créancier du secret. Dès lors, le recours est irrecevable dans la mesure où il vise l'ordre de production de l'intégralité du dossier par le recourant.</w:t>
      </w:r>
    </w:p>
    <w:p>
      <w:r>
        <w:rPr>
          <w:b/>
        </w:rPr>
        <w:t>E. 2</w:t>
      </w:r>
    </w:p>
    <w:p>
      <w:r>
        <w:t>Le recourant se plaint d'une appréciation arbitraire des preuves. Il reproche à l'autorité cantonale d'avoir retenu que les honoraires perçus ne concernaient que le procès contre l'assurance Secura, alors qu'ils auraient eu aussi trait au litige avec La Bâloise. Comme ce point de fait est sans conséquence sur la question de la compétence de la commission de taxation, seule en jeu, le grief est sans pertinence. Il en va de même pour la question de la cause effective de la décision de la Cour administrative du Tribunal cantonal vaudois du 2 février 1999.</w:t>
      </w:r>
    </w:p>
    <w:p>
      <w:r>
        <w:rPr>
          <w:b/>
        </w:rPr>
        <w:t>E. 3</w:t>
      </w:r>
    </w:p>
    <w:p>
      <w:r>
        <w:t>Le recourant soutient principalement que la commission de taxation a commis arbitraire en se déclarant compétente. Aux termes de la loi, en effet, elle doit statuer "en cas de contestation relative au montant des honoraires" (art. 42 al. 1 de la loi sur la profession d'avocat); or, en l'espèce, le mandant n'avait pas contesté la note d'honoraires en cause. Le recourant invoque aussi une violation du droit d'être entendu et de la liberté personnelle du pupille. a) Le curateur de représentation, selon l' art. 392 ch. 2 CC notamment, représente son pupille à l'égard de tous les tiers lorsqu'il remplace le représentant légal (général) d'un mineur ou d'un interdit. Son pouvoir de représentation découle de la loi et non de la volonté du représenté. Le pouvoir de représentation du curateur investi d'un mandat spécial est toutefois limité aux affaires dont il est chargé (Schnyder/Murer, Berner Kommentar, n. 18 ad art. 392 CC ). Du fait de son pouvoir légal de représentation, le curateur a qualité pour agir au nom du représenté. En l'espèce, le curateur de représentation a reçu mission d'examiner toute action utile à la sauvegarde des intérêts du pupille, notamment l'opportunité de demander la modération, c'est-à-dire la taxation, de la note d'honoraires et débours du curateur de gestion. La teneur exacte de ce mandat est certes discutable, mais il n'est pas insoutenable, partant arbitraire, de considérer que le curateur de représentation peut aussi entreprendre des démarches de sauvegarde des intérêts de son pupille. C'est dès lors à bon droit, en vertu des pouvoirs dont il était investi, que le curateur de représentation a déposé une demande de taxation pour le compte de son pupille. Il y avait donc bien contestation, par le représentant qualifié du mandant, de la note d'honoraires du recourant mandataire. La saisine de la commission de taxation et, du même coup, sa compétence étaient par conséquent justifiées. b) Quant au grief de violation du droit d'être entendu, à supposer que le recourant soit en droit d'en invoquer la garantie dont bénéficie un tiers, il est infondé. En effet, dès l'instant où le représentant officiel du pupille est en droit, conformément au mandat de l'autorité tutélaire, d'agir en son nom, la question du droit du pupille d'être entendu ne se pose plus, le curateur agissant valablement pour le compte de celui-ci, à tout le moins dans une affaire d'ordre patrimonial, comme en l'espèce (taxation d'honoraires professionnels), qui ne concerne pas l'exercice d'un droit strictement personnel. c) Il en va de même pour le grief d'atteinte à la liberté personnelle, à supposer là aussi que le recourant soit en droit de s'en prévaloir lui-même. Même si la curatelle ne limite en principe pas l'exercice des droits civils, la requête de taxation du curateur de représentation n'en demeure pas moins valable et fonde, dès lors, la compétence de la commission de taxation. Le recours doit donc rejeté dans la mesure où il est recevable.</w:t>
      </w:r>
    </w:p>
    <w:p>
      <w:r>
        <w:rPr>
          <w:b/>
        </w:rPr>
        <w:t>E. 4</w:t>
      </w:r>
    </w:p>
    <w:p>
      <w:r>
        <w:t>Vu l'issue de la procédure, les frais doivent être mis à la charge du recourant ( art. 156 al. 1 OJ ). Il n'y a pas lieu d'allouer de dépens à l'intimé qui n'a pas été invité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