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5P.409/2001 vom 4. März 2002</w:t>
      </w:r>
    </w:p>
    <w:p>
      <w:r>
        <w:t>Bundesgericht, 2002-03-04, DE</w:t>
      </w:r>
    </w:p>
    <w:p>
      <w:r>
        <w:rPr>
          <w:b/>
        </w:rPr>
        <w:t xml:space="preserve">Quelle: </w:t>
      </w:r>
      <w:r>
        <w:t>https://mcp.opencaselaw.ch/entscheid/bger_5P.409_2001</w:t>
      </w:r>
    </w:p>
    <w:p>
      <w:r>
        <w:t>FR: TF 5P.409/2001 du 4 mars 2002</w:t>
      </w:r>
    </w:p>
    <w:p>
      <w:r>
        <w:t>IT: TF 5P.409/2001 del 4 marzo 2002</w:t>
      </w:r>
    </w:p>
    <w:p>
      <w:pPr>
        <w:pStyle w:val="Heading2"/>
      </w:pPr>
      <w:r>
        <w:t>Regeste</w:t>
      </w:r>
    </w:p>
    <w:p>
      <w:r>
        <w:t>Familienrecht</w:t>
      </w:r>
    </w:p>
    <w:p>
      <w:pPr>
        <w:pStyle w:val="Heading2"/>
      </w:pPr>
      <w:r>
        <w:t>Erwägungen</w:t>
      </w:r>
    </w:p>
    <w:p>
      <w:r>
        <w:rPr>
          <w:b/>
        </w:rPr>
        <w:t>E. 4</w:t>
      </w:r>
    </w:p>
    <w:p>
      <w:r>
        <w:t>Der Beschwerdeführer rügt weiter, die Beschwerdegegnerin habe ihren Unterhaltsanspruch verwirkt, weil sie die Umstände eigenmächtig verändert habe; sie handle treuwidrig, weil sie ihn unterhaltspflichtig machen wolle, obwohl sie die zwei letzten Kinder mit ihrem jetzigen Lebenspartner gezeugt habe. Weil die staatsrechtliche Beschwerde schon aus den genannten Gründen gutzuheissen ist, brauchen diese Rügen nicht mehr geprüft zu werden.</w:t>
      </w:r>
    </w:p>
    <w:p>
      <w:r>
        <w:rPr>
          <w:b/>
        </w:rPr>
        <w:t>E. 5</w:t>
      </w:r>
    </w:p>
    <w:p>
      <w:r>
        <w:t>Bei beiden Parteien sind die Voraussetzungen für die Bewilligung der unentgeltlichen Rechtspflege erfüllt ( Art. 152 OG ). Somit ist die Verfahrenshilfe beiden Parteien zu gewähren, soweit diese angesichts des Obsiegens des Beschwerdeführers nicht gegenstandslos geworden ist. Die den amtlichen Rechtsvertretern der Parteien zu entrichtenden Honorare werden entsprechend Art. 9 des Tarifs für die Entschädigung an die Gegenpartei für das Verfahren vor dem Bundesgericht vom 9. November 1978 (SR 173. 119.1) gekürzt. Angesichts der bescheidenen finanziellen Verhältnisse kann das Honorar der Fürsprecherin der Beschwerdegegnerin vorbehaltlos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