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5P.403/1999 vom 13. Januar 2000</w:t>
      </w:r>
    </w:p>
    <w:p>
      <w:r>
        <w:t>Bundesgericht, 2000-01-13, DE</w:t>
      </w:r>
    </w:p>
    <w:p>
      <w:r>
        <w:rPr>
          <w:b/>
        </w:rPr>
        <w:t xml:space="preserve">Quelle: </w:t>
      </w:r>
      <w:r>
        <w:t>https://mcp.opencaselaw.ch/entscheid/bger_5P.403_1999</w:t>
      </w:r>
    </w:p>
    <w:p>
      <w:r>
        <w:t>FR: TF 5P.403/1999 du 13 janvier 2000</w:t>
      </w:r>
    </w:p>
    <w:p>
      <w:r>
        <w:t>IT: TF 5P.403/1999 del 13 gennaio 2000</w:t>
      </w:r>
    </w:p>
    <w:p>
      <w:pPr>
        <w:pStyle w:val="Heading2"/>
      </w:pPr>
      <w:r>
        <w:t>Erwägungen</w:t>
      </w:r>
    </w:p>
    <w:p>
      <w:r>
        <w:rPr>
          <w:b/>
        </w:rPr>
        <w:t>E. 3</w:t>
      </w:r>
    </w:p>
    <w:p>
      <w:r>
        <w:t>Dies führt zur Gutheissung der staatsrechtlichen Beschwerde, soweit darauf eingetreten werden kann, und zur Aufhebung des Entscheides des Einzelrichters. Damit werden die weiteren Rügen gegenstandslos. Bei diesem Ausgang des Verfahrens wird die Beschwerdegegnerin kosten- und entschädigungspflichtig ( Art. 156 Abs. 1 und Art. 159 Abs. 2 OG ).</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